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rPr>
      </w:pPr>
    </w:p>
    <w:p>
      <w:pPr>
        <w:jc w:val="left"/>
        <w:rPr>
          <w:rFonts w:hint="eastAsia" w:ascii="宋体" w:hAnsi="宋体" w:eastAsia="宋体" w:cs="宋体"/>
        </w:rPr>
      </w:pPr>
    </w:p>
    <w:p>
      <w:pPr>
        <w:spacing w:line="1600" w:lineRule="exact"/>
        <w:outlineLvl w:val="0"/>
        <w:rPr>
          <w:rFonts w:hint="eastAsia" w:ascii="宋体" w:hAnsi="宋体" w:eastAsia="宋体" w:cs="宋体"/>
          <w:sz w:val="130"/>
          <w:szCs w:val="130"/>
        </w:rPr>
      </w:pPr>
    </w:p>
    <w:p>
      <w:pPr>
        <w:spacing w:line="1600" w:lineRule="exact"/>
        <w:jc w:val="center"/>
        <w:outlineLvl w:val="0"/>
        <w:rPr>
          <w:rFonts w:hint="eastAsia" w:ascii="宋体" w:hAnsi="宋体" w:eastAsia="宋体" w:cs="宋体"/>
          <w:sz w:val="130"/>
          <w:szCs w:val="130"/>
        </w:rPr>
      </w:pPr>
      <w:bookmarkStart w:id="0" w:name="_Toc29704"/>
      <w:r>
        <w:rPr>
          <w:rFonts w:hint="eastAsia" w:ascii="宋体" w:hAnsi="宋体" w:eastAsia="宋体" w:cs="宋体"/>
          <w:sz w:val="130"/>
          <w:szCs w:val="130"/>
        </w:rPr>
        <w:t>竞争性磋商文件</w:t>
      </w:r>
      <w:bookmarkEnd w:id="0"/>
    </w:p>
    <w:p>
      <w:pPr>
        <w:spacing w:line="700" w:lineRule="exact"/>
        <w:jc w:val="center"/>
        <w:rPr>
          <w:rFonts w:hint="eastAsia" w:ascii="宋体" w:hAnsi="宋体" w:eastAsia="宋体" w:cs="宋体"/>
          <w:sz w:val="72"/>
          <w:szCs w:val="72"/>
        </w:rPr>
      </w:pPr>
    </w:p>
    <w:p>
      <w:pPr>
        <w:spacing w:line="700" w:lineRule="exact"/>
        <w:jc w:val="center"/>
        <w:rPr>
          <w:rFonts w:hint="eastAsia" w:ascii="宋体" w:hAnsi="宋体" w:eastAsia="宋体" w:cs="宋体"/>
          <w:sz w:val="32"/>
        </w:rPr>
      </w:pPr>
    </w:p>
    <w:p>
      <w:pPr>
        <w:pStyle w:val="4"/>
        <w:numPr>
          <w:ilvl w:val="2"/>
          <w:numId w:val="0"/>
        </w:numPr>
        <w:ind w:left="680"/>
        <w:rPr>
          <w:rFonts w:hint="eastAsia" w:ascii="宋体" w:hAnsi="宋体" w:eastAsia="宋体" w:cs="宋体"/>
        </w:rPr>
      </w:pPr>
    </w:p>
    <w:p>
      <w:pPr>
        <w:rPr>
          <w:rFonts w:hint="eastAsia" w:ascii="宋体" w:hAnsi="宋体" w:eastAsia="宋体" w:cs="宋体"/>
        </w:rPr>
      </w:pPr>
    </w:p>
    <w:p>
      <w:pPr>
        <w:spacing w:line="700" w:lineRule="exact"/>
        <w:jc w:val="center"/>
        <w:rPr>
          <w:rFonts w:hint="eastAsia" w:ascii="宋体" w:hAnsi="宋体" w:eastAsia="宋体" w:cs="宋体"/>
          <w:sz w:val="32"/>
        </w:rPr>
      </w:pPr>
    </w:p>
    <w:p>
      <w:pPr>
        <w:keepNext w:val="0"/>
        <w:keepLines w:val="0"/>
        <w:pageBreakBefore w:val="0"/>
        <w:widowControl w:val="0"/>
        <w:kinsoku/>
        <w:wordWrap/>
        <w:overflowPunct/>
        <w:topLinePunct w:val="0"/>
        <w:autoSpaceDE/>
        <w:autoSpaceDN/>
        <w:bidi w:val="0"/>
        <w:adjustRightInd/>
        <w:snapToGrid/>
        <w:spacing w:line="500" w:lineRule="exact"/>
        <w:ind w:firstLine="1080" w:firstLineChars="300"/>
        <w:textAlignment w:val="auto"/>
        <w:outlineLvl w:val="0"/>
        <w:rPr>
          <w:rFonts w:hint="default" w:ascii="宋体" w:hAnsi="宋体" w:eastAsia="宋体" w:cs="宋体"/>
          <w:sz w:val="36"/>
          <w:szCs w:val="36"/>
          <w:lang w:val="en-US" w:eastAsia="zh-CN"/>
        </w:rPr>
      </w:pPr>
      <w:bookmarkStart w:id="1" w:name="_Toc23617"/>
      <w:r>
        <w:rPr>
          <w:rFonts w:hint="eastAsia" w:ascii="宋体" w:hAnsi="宋体" w:eastAsia="宋体" w:cs="宋体"/>
          <w:sz w:val="36"/>
          <w:szCs w:val="36"/>
        </w:rPr>
        <w:t>项  目  号：</w:t>
      </w:r>
      <w:bookmarkEnd w:id="1"/>
      <w:r>
        <w:rPr>
          <w:rFonts w:hint="eastAsia" w:ascii="宋体" w:hAnsi="宋体" w:cs="宋体"/>
          <w:sz w:val="36"/>
          <w:szCs w:val="36"/>
          <w:lang w:val="en-US" w:eastAsia="zh-CN"/>
        </w:rPr>
        <w:t>QC24C0027</w:t>
      </w:r>
    </w:p>
    <w:p>
      <w:pPr>
        <w:keepNext w:val="0"/>
        <w:keepLines w:val="0"/>
        <w:pageBreakBefore w:val="0"/>
        <w:widowControl w:val="0"/>
        <w:kinsoku/>
        <w:wordWrap/>
        <w:overflowPunct/>
        <w:topLinePunct w:val="0"/>
        <w:autoSpaceDE/>
        <w:autoSpaceDN/>
        <w:bidi w:val="0"/>
        <w:adjustRightInd/>
        <w:snapToGrid/>
        <w:spacing w:line="500" w:lineRule="exact"/>
        <w:ind w:firstLine="1080" w:firstLineChars="300"/>
        <w:textAlignment w:val="auto"/>
        <w:outlineLvl w:val="0"/>
        <w:rPr>
          <w:rFonts w:hint="eastAsia" w:ascii="宋体" w:hAnsi="宋体" w:eastAsia="宋体" w:cs="宋体"/>
          <w:color w:val="auto"/>
          <w:sz w:val="36"/>
          <w:szCs w:val="36"/>
          <w:lang w:eastAsia="zh-CN"/>
        </w:rPr>
      </w:pPr>
      <w:bookmarkStart w:id="2" w:name="_Toc12603"/>
      <w:r>
        <w:rPr>
          <w:rFonts w:hint="eastAsia" w:ascii="宋体" w:hAnsi="宋体" w:eastAsia="宋体" w:cs="宋体"/>
          <w:sz w:val="36"/>
          <w:szCs w:val="36"/>
        </w:rPr>
        <w:t>磋商项目名称</w:t>
      </w:r>
      <w:r>
        <w:rPr>
          <w:rFonts w:hint="eastAsia" w:ascii="宋体" w:hAnsi="宋体" w:eastAsia="宋体" w:cs="宋体"/>
          <w:color w:val="auto"/>
          <w:sz w:val="36"/>
          <w:szCs w:val="36"/>
        </w:rPr>
        <w:t>：</w:t>
      </w:r>
      <w:bookmarkEnd w:id="2"/>
      <w:r>
        <w:rPr>
          <w:rFonts w:hint="eastAsia" w:ascii="宋体" w:hAnsi="宋体" w:cs="宋体"/>
          <w:color w:val="auto"/>
          <w:sz w:val="36"/>
          <w:szCs w:val="36"/>
          <w:lang w:eastAsia="zh-CN"/>
        </w:rPr>
        <w:t>建院70周年文创纪念品设计制作项目</w:t>
      </w:r>
    </w:p>
    <w:p>
      <w:pPr>
        <w:spacing w:line="700" w:lineRule="exact"/>
        <w:ind w:firstLine="1440" w:firstLineChars="400"/>
        <w:rPr>
          <w:rFonts w:hint="eastAsia" w:ascii="宋体" w:hAnsi="宋体" w:eastAsia="宋体" w:cs="宋体"/>
          <w:sz w:val="36"/>
          <w:szCs w:val="36"/>
        </w:rPr>
      </w:pPr>
    </w:p>
    <w:p>
      <w:pPr>
        <w:spacing w:line="700" w:lineRule="exact"/>
        <w:ind w:firstLine="1440" w:firstLineChars="400"/>
        <w:rPr>
          <w:rFonts w:hint="eastAsia" w:ascii="宋体" w:hAnsi="宋体" w:eastAsia="宋体" w:cs="宋体"/>
          <w:sz w:val="36"/>
          <w:szCs w:val="36"/>
        </w:rPr>
      </w:pPr>
    </w:p>
    <w:p>
      <w:pPr>
        <w:pStyle w:val="35"/>
        <w:rPr>
          <w:rFonts w:hint="eastAsia" w:ascii="宋体" w:hAnsi="宋体" w:eastAsia="宋体" w:cs="宋体"/>
        </w:rPr>
      </w:pPr>
    </w:p>
    <w:p>
      <w:pPr>
        <w:spacing w:line="700" w:lineRule="exact"/>
        <w:rPr>
          <w:rFonts w:hint="eastAsia" w:ascii="宋体" w:hAnsi="宋体" w:eastAsia="宋体" w:cs="宋体"/>
          <w:b/>
          <w:sz w:val="36"/>
          <w:szCs w:val="36"/>
        </w:rPr>
      </w:pPr>
    </w:p>
    <w:p>
      <w:pPr>
        <w:pStyle w:val="22"/>
        <w:rPr>
          <w:rFonts w:hint="eastAsia" w:ascii="宋体" w:hAnsi="宋体" w:eastAsia="宋体" w:cs="宋体"/>
        </w:rPr>
      </w:pPr>
    </w:p>
    <w:p>
      <w:pPr>
        <w:rPr>
          <w:rFonts w:hint="eastAsia" w:ascii="宋体" w:hAnsi="宋体" w:eastAsia="宋体" w:cs="宋体"/>
        </w:rPr>
      </w:pPr>
    </w:p>
    <w:p>
      <w:pPr>
        <w:spacing w:line="500" w:lineRule="exact"/>
        <w:ind w:firstLine="1440" w:firstLineChars="400"/>
        <w:outlineLvl w:val="0"/>
        <w:rPr>
          <w:rFonts w:hint="eastAsia" w:ascii="宋体" w:hAnsi="宋体" w:eastAsia="宋体" w:cs="宋体"/>
          <w:sz w:val="36"/>
          <w:szCs w:val="36"/>
          <w:lang w:eastAsia="zh-CN"/>
        </w:rPr>
      </w:pPr>
      <w:bookmarkStart w:id="3" w:name="_Toc13197"/>
      <w:r>
        <w:rPr>
          <w:rFonts w:hint="eastAsia" w:ascii="宋体" w:hAnsi="宋体" w:eastAsia="宋体" w:cs="宋体"/>
          <w:sz w:val="36"/>
          <w:szCs w:val="36"/>
        </w:rPr>
        <w:t>采购人：</w:t>
      </w:r>
      <w:bookmarkEnd w:id="3"/>
      <w:bookmarkStart w:id="4" w:name="_Toc27204"/>
      <w:r>
        <w:rPr>
          <w:rFonts w:hint="eastAsia" w:ascii="宋体" w:hAnsi="宋体" w:cs="宋体"/>
          <w:sz w:val="36"/>
          <w:szCs w:val="36"/>
          <w:lang w:eastAsia="zh-CN"/>
        </w:rPr>
        <w:t>重庆市第十一人民医院（重庆市优抚医院）</w:t>
      </w:r>
    </w:p>
    <w:p>
      <w:pPr>
        <w:spacing w:line="500" w:lineRule="exact"/>
        <w:ind w:firstLine="1440" w:firstLineChars="400"/>
        <w:outlineLvl w:val="0"/>
        <w:rPr>
          <w:rFonts w:hint="eastAsia" w:ascii="宋体" w:hAnsi="宋体" w:eastAsia="宋体" w:cs="宋体"/>
          <w:sz w:val="36"/>
          <w:szCs w:val="36"/>
        </w:rPr>
      </w:pPr>
      <w:r>
        <w:rPr>
          <w:rFonts w:hint="eastAsia" w:ascii="宋体" w:hAnsi="宋体" w:eastAsia="宋体" w:cs="宋体"/>
          <w:sz w:val="36"/>
          <w:szCs w:val="36"/>
        </w:rPr>
        <w:t>采购代理机构：重庆千策招标代理有限公司</w:t>
      </w:r>
      <w:bookmarkEnd w:id="4"/>
    </w:p>
    <w:p>
      <w:pPr>
        <w:spacing w:line="500" w:lineRule="exact"/>
        <w:jc w:val="center"/>
        <w:outlineLvl w:val="0"/>
        <w:rPr>
          <w:rFonts w:hint="eastAsia" w:ascii="宋体" w:hAnsi="宋体" w:eastAsia="宋体" w:cs="宋体"/>
          <w:sz w:val="36"/>
          <w:szCs w:val="36"/>
        </w:rPr>
      </w:pPr>
    </w:p>
    <w:p>
      <w:pPr>
        <w:pStyle w:val="22"/>
        <w:rPr>
          <w:rFonts w:hint="eastAsia" w:ascii="宋体" w:hAnsi="宋体" w:eastAsia="宋体" w:cs="宋体"/>
        </w:rPr>
      </w:pPr>
    </w:p>
    <w:p>
      <w:pPr>
        <w:spacing w:line="720" w:lineRule="exact"/>
        <w:jc w:val="center"/>
        <w:outlineLvl w:val="0"/>
        <w:rPr>
          <w:rFonts w:hint="eastAsia" w:ascii="宋体" w:hAnsi="宋体" w:eastAsia="宋体" w:cs="宋体"/>
          <w:sz w:val="48"/>
          <w:szCs w:val="32"/>
        </w:rPr>
      </w:pPr>
      <w:bookmarkStart w:id="5" w:name="_Toc2252"/>
      <w:r>
        <w:rPr>
          <w:rFonts w:hint="eastAsia" w:ascii="宋体" w:hAnsi="宋体" w:eastAsia="宋体" w:cs="宋体"/>
          <w:sz w:val="36"/>
          <w:szCs w:val="36"/>
        </w:rPr>
        <w:t>二〇二</w:t>
      </w:r>
      <w:r>
        <w:rPr>
          <w:rFonts w:hint="eastAsia" w:ascii="宋体" w:hAnsi="宋体" w:eastAsia="宋体" w:cs="宋体"/>
          <w:sz w:val="36"/>
          <w:szCs w:val="36"/>
          <w:lang w:eastAsia="zh-CN"/>
        </w:rPr>
        <w:t>四</w:t>
      </w:r>
      <w:r>
        <w:rPr>
          <w:rFonts w:hint="eastAsia" w:ascii="宋体" w:hAnsi="宋体" w:eastAsia="宋体" w:cs="宋体"/>
          <w:sz w:val="36"/>
          <w:szCs w:val="36"/>
        </w:rPr>
        <w:t>年</w:t>
      </w:r>
      <w:r>
        <w:rPr>
          <w:rFonts w:hint="eastAsia" w:ascii="宋体" w:hAnsi="宋体" w:eastAsia="宋体" w:cs="宋体"/>
          <w:sz w:val="36"/>
          <w:szCs w:val="36"/>
          <w:lang w:eastAsia="zh-CN"/>
        </w:rPr>
        <w:t>三</w:t>
      </w:r>
      <w:r>
        <w:rPr>
          <w:rFonts w:hint="eastAsia" w:ascii="宋体" w:hAnsi="宋体" w:eastAsia="宋体" w:cs="宋体"/>
          <w:sz w:val="36"/>
          <w:szCs w:val="36"/>
        </w:rPr>
        <w:t>月</w:t>
      </w:r>
      <w:bookmarkEnd w:id="5"/>
    </w:p>
    <w:p>
      <w:pPr>
        <w:spacing w:line="720" w:lineRule="exact"/>
        <w:jc w:val="center"/>
        <w:outlineLvl w:val="0"/>
        <w:rPr>
          <w:rFonts w:hint="eastAsia" w:ascii="宋体" w:hAnsi="宋体" w:eastAsia="宋体" w:cs="宋体"/>
          <w:sz w:val="48"/>
          <w:szCs w:val="32"/>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1"/>
          <w:cols w:space="720" w:num="1"/>
          <w:titlePg/>
          <w:docGrid w:linePitch="381" w:charSpace="-5735"/>
        </w:sectPr>
      </w:pPr>
    </w:p>
    <w:p>
      <w:pPr>
        <w:spacing w:line="480" w:lineRule="exact"/>
        <w:jc w:val="center"/>
        <w:outlineLvl w:val="0"/>
        <w:rPr>
          <w:rFonts w:hint="eastAsia" w:ascii="宋体" w:hAnsi="宋体" w:eastAsia="宋体" w:cs="宋体"/>
          <w:sz w:val="44"/>
          <w:szCs w:val="28"/>
        </w:rPr>
      </w:pPr>
      <w:bookmarkStart w:id="6" w:name="_Toc12825"/>
      <w:r>
        <w:rPr>
          <w:rFonts w:hint="eastAsia" w:ascii="宋体" w:hAnsi="宋体" w:eastAsia="宋体" w:cs="宋体"/>
          <w:sz w:val="44"/>
          <w:szCs w:val="28"/>
        </w:rPr>
        <w:t>目   录</w:t>
      </w:r>
    </w:p>
    <w:p>
      <w:pPr>
        <w:pStyle w:val="23"/>
        <w:tabs>
          <w:tab w:val="right" w:leader="dot" w:pos="9412"/>
        </w:tabs>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"1-3" \h \z </w:instrText>
      </w:r>
      <w:r>
        <w:rPr>
          <w:rFonts w:hint="eastAsia" w:ascii="宋体" w:hAnsi="宋体" w:eastAsia="宋体" w:cs="宋体"/>
          <w:sz w:val="21"/>
          <w:szCs w:val="21"/>
        </w:rPr>
        <w:fldChar w:fldCharType="separate"/>
      </w:r>
      <w:r>
        <w:rPr>
          <w:rFonts w:hint="eastAsia" w:ascii="宋体" w:hAnsi="宋体" w:eastAsia="宋体" w:cs="宋体"/>
          <w:szCs w:val="21"/>
        </w:rPr>
        <w:fldChar w:fldCharType="begin"/>
      </w:r>
      <w:r>
        <w:rPr>
          <w:rFonts w:hint="eastAsia" w:ascii="宋体" w:hAnsi="宋体" w:eastAsia="宋体" w:cs="宋体"/>
          <w:szCs w:val="21"/>
        </w:rPr>
        <w:instrText xml:space="preserve"> HYPERLINK \l _Toc25962 </w:instrText>
      </w:r>
      <w:r>
        <w:rPr>
          <w:rFonts w:hint="eastAsia" w:ascii="宋体" w:hAnsi="宋体" w:eastAsia="宋体" w:cs="宋体"/>
          <w:szCs w:val="21"/>
        </w:rPr>
        <w:fldChar w:fldCharType="separate"/>
      </w:r>
      <w:r>
        <w:rPr>
          <w:rFonts w:hint="eastAsia" w:ascii="宋体" w:hAnsi="宋体" w:eastAsia="宋体" w:cs="宋体"/>
          <w:szCs w:val="30"/>
        </w:rPr>
        <w:t>第一篇  采购邀请书</w:t>
      </w:r>
      <w:r>
        <w:tab/>
      </w:r>
      <w:r>
        <w:fldChar w:fldCharType="begin"/>
      </w:r>
      <w:r>
        <w:instrText xml:space="preserve"> PAGEREF _Toc25962 \h </w:instrText>
      </w:r>
      <w:r>
        <w:fldChar w:fldCharType="separate"/>
      </w:r>
      <w:r>
        <w:t>- 3 -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_Toc31165 </w:instrText>
      </w:r>
      <w:r>
        <w:rPr>
          <w:rFonts w:hint="eastAsia" w:ascii="宋体" w:hAnsi="宋体" w:eastAsia="宋体" w:cs="宋体"/>
          <w:szCs w:val="21"/>
        </w:rPr>
        <w:fldChar w:fldCharType="separate"/>
      </w:r>
      <w:r>
        <w:rPr>
          <w:rFonts w:hint="eastAsia" w:ascii="宋体" w:hAnsi="宋体" w:eastAsia="宋体" w:cs="宋体"/>
          <w:bCs w:val="0"/>
        </w:rPr>
        <w:t>一、竞争性磋商内容</w:t>
      </w:r>
      <w:r>
        <w:tab/>
      </w:r>
      <w:r>
        <w:fldChar w:fldCharType="begin"/>
      </w:r>
      <w:r>
        <w:instrText xml:space="preserve"> PAGEREF _Toc31165 \h </w:instrText>
      </w:r>
      <w:r>
        <w:fldChar w:fldCharType="separate"/>
      </w:r>
      <w:r>
        <w:t>- 3 -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_Toc1025 </w:instrText>
      </w:r>
      <w:r>
        <w:rPr>
          <w:rFonts w:hint="eastAsia" w:ascii="宋体" w:hAnsi="宋体" w:eastAsia="宋体" w:cs="宋体"/>
          <w:szCs w:val="21"/>
        </w:rPr>
        <w:fldChar w:fldCharType="separate"/>
      </w:r>
      <w:r>
        <w:rPr>
          <w:rFonts w:hint="eastAsia" w:ascii="宋体" w:hAnsi="宋体" w:eastAsia="宋体" w:cs="宋体"/>
          <w:bCs w:val="0"/>
        </w:rPr>
        <w:t>二、资金来源</w:t>
      </w:r>
      <w:r>
        <w:tab/>
      </w:r>
      <w:r>
        <w:fldChar w:fldCharType="begin"/>
      </w:r>
      <w:r>
        <w:instrText xml:space="preserve"> PAGEREF _Toc1025 \h </w:instrText>
      </w:r>
      <w:r>
        <w:fldChar w:fldCharType="separate"/>
      </w:r>
      <w:r>
        <w:t>- 3 -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_Toc14633 </w:instrText>
      </w:r>
      <w:r>
        <w:rPr>
          <w:rFonts w:hint="eastAsia" w:ascii="宋体" w:hAnsi="宋体" w:eastAsia="宋体" w:cs="宋体"/>
          <w:szCs w:val="21"/>
        </w:rPr>
        <w:fldChar w:fldCharType="separate"/>
      </w:r>
      <w:r>
        <w:rPr>
          <w:rFonts w:hint="eastAsia" w:ascii="宋体" w:hAnsi="宋体" w:eastAsia="宋体" w:cs="宋体"/>
          <w:bCs w:val="0"/>
        </w:rPr>
        <w:t>三、供应商资格条件</w:t>
      </w:r>
      <w:r>
        <w:tab/>
      </w:r>
      <w:r>
        <w:fldChar w:fldCharType="begin"/>
      </w:r>
      <w:r>
        <w:instrText xml:space="preserve"> PAGEREF _Toc14633 \h </w:instrText>
      </w:r>
      <w:r>
        <w:fldChar w:fldCharType="separate"/>
      </w:r>
      <w:r>
        <w:t>- 3 -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_Toc24774 </w:instrText>
      </w:r>
      <w:r>
        <w:rPr>
          <w:rFonts w:hint="eastAsia" w:ascii="宋体" w:hAnsi="宋体" w:eastAsia="宋体" w:cs="宋体"/>
          <w:szCs w:val="21"/>
        </w:rPr>
        <w:fldChar w:fldCharType="separate"/>
      </w:r>
      <w:r>
        <w:rPr>
          <w:rFonts w:hint="eastAsia" w:ascii="宋体" w:hAnsi="宋体" w:eastAsia="宋体" w:cs="宋体"/>
          <w:bCs w:val="0"/>
        </w:rPr>
        <w:t>四、磋商有关说明</w:t>
      </w:r>
      <w:r>
        <w:tab/>
      </w:r>
      <w:r>
        <w:fldChar w:fldCharType="begin"/>
      </w:r>
      <w:r>
        <w:instrText xml:space="preserve"> PAGEREF _Toc24774 \h </w:instrText>
      </w:r>
      <w:r>
        <w:fldChar w:fldCharType="separate"/>
      </w:r>
      <w:r>
        <w:t>- 3 -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_Toc3043 </w:instrText>
      </w:r>
      <w:r>
        <w:rPr>
          <w:rFonts w:hint="eastAsia" w:ascii="宋体" w:hAnsi="宋体" w:eastAsia="宋体" w:cs="宋体"/>
          <w:szCs w:val="21"/>
        </w:rPr>
        <w:fldChar w:fldCharType="separate"/>
      </w:r>
      <w:r>
        <w:rPr>
          <w:rFonts w:hint="eastAsia" w:ascii="宋体" w:hAnsi="宋体" w:eastAsia="宋体" w:cs="宋体"/>
          <w:bCs w:val="0"/>
        </w:rPr>
        <w:t>五、保证金</w:t>
      </w:r>
      <w:r>
        <w:tab/>
      </w:r>
      <w:r>
        <w:fldChar w:fldCharType="begin"/>
      </w:r>
      <w:r>
        <w:instrText xml:space="preserve"> PAGEREF _Toc3043 \h </w:instrText>
      </w:r>
      <w:r>
        <w:fldChar w:fldCharType="separate"/>
      </w:r>
      <w:r>
        <w:t>- 3 -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_Toc32543 </w:instrText>
      </w:r>
      <w:r>
        <w:rPr>
          <w:rFonts w:hint="eastAsia" w:ascii="宋体" w:hAnsi="宋体" w:eastAsia="宋体" w:cs="宋体"/>
          <w:szCs w:val="21"/>
        </w:rPr>
        <w:fldChar w:fldCharType="separate"/>
      </w:r>
      <w:r>
        <w:rPr>
          <w:rFonts w:hint="eastAsia" w:ascii="宋体" w:hAnsi="宋体" w:eastAsia="宋体" w:cs="宋体"/>
          <w:bCs w:val="0"/>
        </w:rPr>
        <w:t>六、其它有关规定</w:t>
      </w:r>
      <w:r>
        <w:tab/>
      </w:r>
      <w:r>
        <w:fldChar w:fldCharType="begin"/>
      </w:r>
      <w:r>
        <w:instrText xml:space="preserve"> PAGEREF _Toc32543 \h </w:instrText>
      </w:r>
      <w:r>
        <w:fldChar w:fldCharType="separate"/>
      </w:r>
      <w:r>
        <w:t>- 4 -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_Toc30813 </w:instrText>
      </w:r>
      <w:r>
        <w:rPr>
          <w:rFonts w:hint="eastAsia" w:ascii="宋体" w:hAnsi="宋体" w:eastAsia="宋体" w:cs="宋体"/>
          <w:szCs w:val="21"/>
        </w:rPr>
        <w:fldChar w:fldCharType="separate"/>
      </w:r>
      <w:r>
        <w:rPr>
          <w:rFonts w:hint="eastAsia" w:ascii="宋体" w:hAnsi="宋体" w:eastAsia="宋体" w:cs="宋体"/>
          <w:bCs w:val="0"/>
        </w:rPr>
        <w:t>七、联系方式</w:t>
      </w:r>
      <w:r>
        <w:tab/>
      </w:r>
      <w:r>
        <w:fldChar w:fldCharType="begin"/>
      </w:r>
      <w:r>
        <w:instrText xml:space="preserve"> PAGEREF _Toc30813 \h </w:instrText>
      </w:r>
      <w:r>
        <w:fldChar w:fldCharType="separate"/>
      </w:r>
      <w:r>
        <w:t>- 4 -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_Toc16827 </w:instrText>
      </w:r>
      <w:r>
        <w:rPr>
          <w:rFonts w:hint="eastAsia" w:ascii="宋体" w:hAnsi="宋体" w:eastAsia="宋体" w:cs="宋体"/>
          <w:szCs w:val="21"/>
        </w:rPr>
        <w:fldChar w:fldCharType="separate"/>
      </w:r>
      <w:r>
        <w:rPr>
          <w:rFonts w:hint="eastAsia" w:ascii="宋体" w:hAnsi="宋体" w:eastAsia="宋体" w:cs="宋体"/>
          <w:szCs w:val="30"/>
        </w:rPr>
        <w:t>第二篇  项目服务需求</w:t>
      </w:r>
      <w:r>
        <w:tab/>
      </w:r>
      <w:r>
        <w:fldChar w:fldCharType="begin"/>
      </w:r>
      <w:r>
        <w:instrText xml:space="preserve"> PAGEREF _Toc16827 \h </w:instrText>
      </w:r>
      <w:r>
        <w:fldChar w:fldCharType="separate"/>
      </w:r>
      <w:r>
        <w:t>- 6 -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_Toc31882 </w:instrText>
      </w:r>
      <w:r>
        <w:rPr>
          <w:rFonts w:hint="eastAsia" w:ascii="宋体" w:hAnsi="宋体" w:eastAsia="宋体" w:cs="宋体"/>
          <w:szCs w:val="21"/>
        </w:rPr>
        <w:fldChar w:fldCharType="separate"/>
      </w:r>
      <w:r>
        <w:rPr>
          <w:rFonts w:hint="eastAsia" w:ascii="宋体" w:hAnsi="宋体" w:eastAsia="宋体" w:cs="宋体"/>
          <w:bCs w:val="0"/>
        </w:rPr>
        <w:t>一、项目一览表</w:t>
      </w:r>
      <w:r>
        <w:tab/>
      </w:r>
      <w:r>
        <w:fldChar w:fldCharType="begin"/>
      </w:r>
      <w:r>
        <w:instrText xml:space="preserve"> PAGEREF _Toc31882 \h </w:instrText>
      </w:r>
      <w:r>
        <w:fldChar w:fldCharType="separate"/>
      </w:r>
      <w:r>
        <w:t>- 6 -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_Toc9429 </w:instrText>
      </w:r>
      <w:r>
        <w:rPr>
          <w:rFonts w:hint="eastAsia" w:ascii="宋体" w:hAnsi="宋体" w:eastAsia="宋体" w:cs="宋体"/>
          <w:szCs w:val="21"/>
        </w:rPr>
        <w:fldChar w:fldCharType="separate"/>
      </w:r>
      <w:r>
        <w:rPr>
          <w:rFonts w:hint="eastAsia" w:ascii="宋体" w:hAnsi="宋体" w:eastAsia="宋体" w:cs="宋体"/>
        </w:rPr>
        <w:t>※</w:t>
      </w:r>
      <w:r>
        <w:rPr>
          <w:rFonts w:hint="eastAsia" w:ascii="宋体" w:hAnsi="宋体" w:eastAsia="宋体" w:cs="宋体"/>
          <w:lang w:val="en-US" w:eastAsia="zh-CN"/>
        </w:rPr>
        <w:t>二</w:t>
      </w:r>
      <w:r>
        <w:rPr>
          <w:rFonts w:hint="eastAsia" w:ascii="宋体" w:hAnsi="宋体" w:eastAsia="宋体" w:cs="宋体"/>
        </w:rPr>
        <w:t>、服务内容及质量要求</w:t>
      </w:r>
      <w:r>
        <w:tab/>
      </w:r>
      <w:r>
        <w:fldChar w:fldCharType="begin"/>
      </w:r>
      <w:r>
        <w:instrText xml:space="preserve"> PAGEREF _Toc9429 \h </w:instrText>
      </w:r>
      <w:r>
        <w:fldChar w:fldCharType="separate"/>
      </w:r>
      <w:r>
        <w:t>- 6 -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_Toc2434 </w:instrText>
      </w:r>
      <w:r>
        <w:rPr>
          <w:rFonts w:hint="eastAsia" w:ascii="宋体" w:hAnsi="宋体" w:eastAsia="宋体" w:cs="宋体"/>
          <w:szCs w:val="21"/>
        </w:rPr>
        <w:fldChar w:fldCharType="separate"/>
      </w:r>
      <w:r>
        <w:rPr>
          <w:rFonts w:hint="eastAsia" w:ascii="宋体" w:hAnsi="宋体" w:eastAsia="宋体" w:cs="宋体"/>
          <w:szCs w:val="30"/>
        </w:rPr>
        <w:t>第三篇  项目商务需求</w:t>
      </w:r>
      <w:r>
        <w:tab/>
      </w:r>
      <w:r>
        <w:fldChar w:fldCharType="begin"/>
      </w:r>
      <w:r>
        <w:instrText xml:space="preserve"> PAGEREF _Toc2434 \h </w:instrText>
      </w:r>
      <w:r>
        <w:fldChar w:fldCharType="separate"/>
      </w:r>
      <w:r>
        <w:t>- 7 -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_Toc19393 </w:instrText>
      </w:r>
      <w:r>
        <w:rPr>
          <w:rFonts w:hint="eastAsia" w:ascii="宋体" w:hAnsi="宋体" w:eastAsia="宋体" w:cs="宋体"/>
          <w:szCs w:val="21"/>
        </w:rPr>
        <w:fldChar w:fldCharType="separate"/>
      </w:r>
      <w:r>
        <w:rPr>
          <w:rFonts w:hint="eastAsia" w:ascii="宋体" w:hAnsi="宋体" w:eastAsia="宋体" w:cs="宋体"/>
          <w:szCs w:val="24"/>
        </w:rPr>
        <w:t>一、</w:t>
      </w:r>
      <w:r>
        <w:rPr>
          <w:rFonts w:hint="eastAsia" w:ascii="宋体" w:hAnsi="宋体" w:eastAsia="宋体" w:cs="宋体"/>
          <w:szCs w:val="24"/>
          <w:lang w:val="en-US" w:eastAsia="zh-CN"/>
        </w:rPr>
        <w:t>实施时间</w:t>
      </w:r>
      <w:r>
        <w:rPr>
          <w:rFonts w:hint="eastAsia" w:ascii="宋体" w:hAnsi="宋体" w:eastAsia="宋体" w:cs="宋体"/>
        </w:rPr>
        <w:t>、地点及</w:t>
      </w:r>
      <w:r>
        <w:rPr>
          <w:rFonts w:hint="eastAsia" w:ascii="宋体" w:hAnsi="宋体" w:eastAsia="宋体" w:cs="宋体"/>
          <w:lang w:val="en-US" w:eastAsia="zh-CN"/>
        </w:rPr>
        <w:t>验收</w:t>
      </w:r>
      <w:r>
        <w:rPr>
          <w:rFonts w:hint="eastAsia" w:ascii="宋体" w:hAnsi="宋体" w:eastAsia="宋体" w:cs="宋体"/>
        </w:rPr>
        <w:t>方式</w:t>
      </w:r>
      <w:r>
        <w:tab/>
      </w:r>
      <w:r>
        <w:fldChar w:fldCharType="begin"/>
      </w:r>
      <w:r>
        <w:instrText xml:space="preserve"> PAGEREF _Toc19393 \h </w:instrText>
      </w:r>
      <w:r>
        <w:fldChar w:fldCharType="separate"/>
      </w:r>
      <w:r>
        <w:t>- 7 -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_Toc22877 </w:instrText>
      </w:r>
      <w:r>
        <w:rPr>
          <w:rFonts w:hint="eastAsia" w:ascii="宋体" w:hAnsi="宋体" w:eastAsia="宋体" w:cs="宋体"/>
          <w:szCs w:val="21"/>
        </w:rPr>
        <w:fldChar w:fldCharType="separate"/>
      </w:r>
      <w:r>
        <w:rPr>
          <w:rFonts w:hint="eastAsia" w:ascii="宋体" w:hAnsi="宋体" w:eastAsia="宋体" w:cs="宋体"/>
          <w:szCs w:val="24"/>
        </w:rPr>
        <w:t>二、报价要求</w:t>
      </w:r>
      <w:r>
        <w:tab/>
      </w:r>
      <w:r>
        <w:fldChar w:fldCharType="begin"/>
      </w:r>
      <w:r>
        <w:instrText xml:space="preserve"> PAGEREF _Toc22877 \h </w:instrText>
      </w:r>
      <w:r>
        <w:fldChar w:fldCharType="separate"/>
      </w:r>
      <w:r>
        <w:t>- 7 -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_Toc1006 </w:instrText>
      </w:r>
      <w:r>
        <w:rPr>
          <w:rFonts w:hint="eastAsia" w:ascii="宋体" w:hAnsi="宋体" w:eastAsia="宋体" w:cs="宋体"/>
          <w:szCs w:val="21"/>
        </w:rPr>
        <w:fldChar w:fldCharType="separate"/>
      </w:r>
      <w:r>
        <w:rPr>
          <w:rFonts w:hint="eastAsia" w:ascii="宋体" w:hAnsi="宋体" w:eastAsia="宋体" w:cs="宋体"/>
          <w:szCs w:val="24"/>
        </w:rPr>
        <w:t>三、付款方式</w:t>
      </w:r>
      <w:r>
        <w:tab/>
      </w:r>
      <w:r>
        <w:fldChar w:fldCharType="begin"/>
      </w:r>
      <w:r>
        <w:instrText xml:space="preserve"> PAGEREF _Toc1006 \h </w:instrText>
      </w:r>
      <w:r>
        <w:fldChar w:fldCharType="separate"/>
      </w:r>
      <w:r>
        <w:t>- 7 -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_Toc22720 </w:instrText>
      </w:r>
      <w:r>
        <w:rPr>
          <w:rFonts w:hint="eastAsia" w:ascii="宋体" w:hAnsi="宋体" w:eastAsia="宋体" w:cs="宋体"/>
          <w:szCs w:val="21"/>
        </w:rPr>
        <w:fldChar w:fldCharType="separate"/>
      </w:r>
      <w:r>
        <w:rPr>
          <w:rFonts w:hint="eastAsia" w:ascii="宋体" w:hAnsi="宋体" w:eastAsia="宋体" w:cs="宋体"/>
          <w:szCs w:val="24"/>
        </w:rPr>
        <w:t>四、知识产权</w:t>
      </w:r>
      <w:r>
        <w:tab/>
      </w:r>
      <w:r>
        <w:fldChar w:fldCharType="begin"/>
      </w:r>
      <w:r>
        <w:instrText xml:space="preserve"> PAGEREF _Toc22720 \h </w:instrText>
      </w:r>
      <w:r>
        <w:fldChar w:fldCharType="separate"/>
      </w:r>
      <w:r>
        <w:t>- 7 -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_Toc12459 </w:instrText>
      </w:r>
      <w:r>
        <w:rPr>
          <w:rFonts w:hint="eastAsia" w:ascii="宋体" w:hAnsi="宋体" w:eastAsia="宋体" w:cs="宋体"/>
          <w:szCs w:val="21"/>
        </w:rPr>
        <w:fldChar w:fldCharType="separate"/>
      </w:r>
      <w:r>
        <w:rPr>
          <w:rFonts w:hint="eastAsia" w:ascii="宋体" w:hAnsi="宋体" w:eastAsia="宋体" w:cs="宋体"/>
          <w:szCs w:val="24"/>
          <w:lang w:val="en-US" w:eastAsia="zh-CN"/>
        </w:rPr>
        <w:t>五</w:t>
      </w:r>
      <w:r>
        <w:rPr>
          <w:rFonts w:hint="eastAsia" w:ascii="宋体" w:hAnsi="宋体" w:eastAsia="宋体" w:cs="宋体"/>
          <w:szCs w:val="24"/>
        </w:rPr>
        <w:t>、</w:t>
      </w:r>
      <w:r>
        <w:rPr>
          <w:rFonts w:hint="eastAsia" w:ascii="宋体" w:hAnsi="宋体" w:eastAsia="宋体" w:cs="宋体"/>
          <w:szCs w:val="24"/>
          <w:lang w:val="en-US" w:eastAsia="zh-CN"/>
        </w:rPr>
        <w:t>违约责任</w:t>
      </w:r>
      <w:r>
        <w:tab/>
      </w:r>
      <w:r>
        <w:fldChar w:fldCharType="begin"/>
      </w:r>
      <w:r>
        <w:instrText xml:space="preserve"> PAGEREF _Toc12459 \h </w:instrText>
      </w:r>
      <w:r>
        <w:fldChar w:fldCharType="separate"/>
      </w:r>
      <w:r>
        <w:t>- 8 -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_Toc27121 </w:instrText>
      </w:r>
      <w:r>
        <w:rPr>
          <w:rFonts w:hint="eastAsia" w:ascii="宋体" w:hAnsi="宋体" w:eastAsia="宋体" w:cs="宋体"/>
          <w:szCs w:val="21"/>
        </w:rPr>
        <w:fldChar w:fldCharType="separate"/>
      </w:r>
      <w:r>
        <w:rPr>
          <w:rFonts w:hint="eastAsia" w:ascii="宋体" w:hAnsi="宋体" w:eastAsia="宋体" w:cs="宋体"/>
          <w:szCs w:val="24"/>
          <w:lang w:val="en-US" w:eastAsia="zh-CN"/>
        </w:rPr>
        <w:t>六</w:t>
      </w:r>
      <w:r>
        <w:rPr>
          <w:rFonts w:hint="eastAsia" w:ascii="宋体" w:hAnsi="宋体" w:eastAsia="宋体" w:cs="宋体"/>
          <w:szCs w:val="24"/>
        </w:rPr>
        <w:t>、其他</w:t>
      </w:r>
      <w:r>
        <w:tab/>
      </w:r>
      <w:r>
        <w:fldChar w:fldCharType="begin"/>
      </w:r>
      <w:r>
        <w:instrText xml:space="preserve"> PAGEREF _Toc27121 \h </w:instrText>
      </w:r>
      <w:r>
        <w:fldChar w:fldCharType="separate"/>
      </w:r>
      <w:r>
        <w:t>- 8 -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_Toc28286 </w:instrText>
      </w:r>
      <w:r>
        <w:rPr>
          <w:rFonts w:hint="eastAsia" w:ascii="宋体" w:hAnsi="宋体" w:eastAsia="宋体" w:cs="宋体"/>
          <w:szCs w:val="21"/>
        </w:rPr>
        <w:fldChar w:fldCharType="separate"/>
      </w:r>
      <w:r>
        <w:rPr>
          <w:rFonts w:hint="eastAsia" w:ascii="宋体" w:hAnsi="宋体" w:eastAsia="宋体" w:cs="宋体"/>
          <w:szCs w:val="30"/>
        </w:rPr>
        <w:t>第四篇  磋商程序及方法、评审标准、无效响应和</w:t>
      </w:r>
      <w:r>
        <w:rPr>
          <w:rFonts w:hint="eastAsia" w:ascii="宋体" w:hAnsi="宋体" w:eastAsia="宋体" w:cs="宋体"/>
          <w:szCs w:val="36"/>
        </w:rPr>
        <w:t>采购终止</w:t>
      </w:r>
      <w:r>
        <w:tab/>
      </w:r>
      <w:r>
        <w:fldChar w:fldCharType="begin"/>
      </w:r>
      <w:r>
        <w:instrText xml:space="preserve"> PAGEREF _Toc28286 \h </w:instrText>
      </w:r>
      <w:r>
        <w:fldChar w:fldCharType="separate"/>
      </w:r>
      <w:r>
        <w:t>- 9 -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_Toc13676 </w:instrText>
      </w:r>
      <w:r>
        <w:rPr>
          <w:rFonts w:hint="eastAsia" w:ascii="宋体" w:hAnsi="宋体" w:eastAsia="宋体" w:cs="宋体"/>
          <w:szCs w:val="21"/>
        </w:rPr>
        <w:fldChar w:fldCharType="separate"/>
      </w:r>
      <w:r>
        <w:rPr>
          <w:rFonts w:hint="eastAsia" w:ascii="宋体" w:hAnsi="宋体" w:eastAsia="宋体" w:cs="宋体"/>
          <w:bCs w:val="0"/>
        </w:rPr>
        <w:t>一、磋商程序及方法</w:t>
      </w:r>
      <w:r>
        <w:tab/>
      </w:r>
      <w:r>
        <w:fldChar w:fldCharType="begin"/>
      </w:r>
      <w:r>
        <w:instrText xml:space="preserve"> PAGEREF _Toc13676 \h </w:instrText>
      </w:r>
      <w:r>
        <w:fldChar w:fldCharType="separate"/>
      </w:r>
      <w:r>
        <w:t>- 9 -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_Toc29135 </w:instrText>
      </w:r>
      <w:r>
        <w:rPr>
          <w:rFonts w:hint="eastAsia" w:ascii="宋体" w:hAnsi="宋体" w:eastAsia="宋体" w:cs="宋体"/>
          <w:szCs w:val="21"/>
        </w:rPr>
        <w:fldChar w:fldCharType="separate"/>
      </w:r>
      <w:r>
        <w:rPr>
          <w:rFonts w:hint="eastAsia" w:ascii="宋体" w:hAnsi="宋体" w:eastAsia="宋体" w:cs="宋体"/>
          <w:bCs w:val="0"/>
        </w:rPr>
        <w:t>二、评审标准</w:t>
      </w:r>
      <w:r>
        <w:tab/>
      </w:r>
      <w:r>
        <w:fldChar w:fldCharType="begin"/>
      </w:r>
      <w:r>
        <w:instrText xml:space="preserve"> PAGEREF _Toc29135 \h </w:instrText>
      </w:r>
      <w:r>
        <w:fldChar w:fldCharType="separate"/>
      </w:r>
      <w:r>
        <w:t>- 11 -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_Toc7253 </w:instrText>
      </w:r>
      <w:r>
        <w:rPr>
          <w:rFonts w:hint="eastAsia" w:ascii="宋体" w:hAnsi="宋体" w:eastAsia="宋体" w:cs="宋体"/>
          <w:szCs w:val="21"/>
        </w:rPr>
        <w:fldChar w:fldCharType="separate"/>
      </w:r>
      <w:r>
        <w:rPr>
          <w:rFonts w:hint="eastAsia" w:ascii="宋体" w:hAnsi="宋体" w:eastAsia="宋体" w:cs="宋体"/>
          <w:bCs w:val="0"/>
        </w:rPr>
        <w:t>三、无效响应</w:t>
      </w:r>
      <w:r>
        <w:tab/>
      </w:r>
      <w:r>
        <w:fldChar w:fldCharType="begin"/>
      </w:r>
      <w:r>
        <w:instrText xml:space="preserve"> PAGEREF _Toc7253 \h </w:instrText>
      </w:r>
      <w:r>
        <w:fldChar w:fldCharType="separate"/>
      </w:r>
      <w:r>
        <w:t>- 12 -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_Toc1063 </w:instrText>
      </w:r>
      <w:r>
        <w:rPr>
          <w:rFonts w:hint="eastAsia" w:ascii="宋体" w:hAnsi="宋体" w:eastAsia="宋体" w:cs="宋体"/>
          <w:szCs w:val="21"/>
        </w:rPr>
        <w:fldChar w:fldCharType="separate"/>
      </w:r>
      <w:r>
        <w:rPr>
          <w:rFonts w:hint="eastAsia" w:ascii="宋体" w:hAnsi="宋体" w:eastAsia="宋体" w:cs="宋体"/>
          <w:bCs w:val="0"/>
        </w:rPr>
        <w:t>四、采购终止</w:t>
      </w:r>
      <w:r>
        <w:tab/>
      </w:r>
      <w:r>
        <w:fldChar w:fldCharType="begin"/>
      </w:r>
      <w:r>
        <w:instrText xml:space="preserve"> PAGEREF _Toc1063 \h </w:instrText>
      </w:r>
      <w:r>
        <w:fldChar w:fldCharType="separate"/>
      </w:r>
      <w:r>
        <w:t>- 12 -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_Toc17206 </w:instrText>
      </w:r>
      <w:r>
        <w:rPr>
          <w:rFonts w:hint="eastAsia" w:ascii="宋体" w:hAnsi="宋体" w:eastAsia="宋体" w:cs="宋体"/>
          <w:szCs w:val="21"/>
        </w:rPr>
        <w:fldChar w:fldCharType="separate"/>
      </w:r>
      <w:r>
        <w:rPr>
          <w:rFonts w:hint="eastAsia" w:ascii="宋体" w:hAnsi="宋体" w:eastAsia="宋体" w:cs="宋体"/>
          <w:szCs w:val="30"/>
        </w:rPr>
        <w:t>第五篇  供应商须知</w:t>
      </w:r>
      <w:r>
        <w:tab/>
      </w:r>
      <w:r>
        <w:fldChar w:fldCharType="begin"/>
      </w:r>
      <w:r>
        <w:instrText xml:space="preserve"> PAGEREF _Toc17206 \h </w:instrText>
      </w:r>
      <w:r>
        <w:fldChar w:fldCharType="separate"/>
      </w:r>
      <w:r>
        <w:t>- 14 -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_Toc23654 </w:instrText>
      </w:r>
      <w:r>
        <w:rPr>
          <w:rFonts w:hint="eastAsia" w:ascii="宋体" w:hAnsi="宋体" w:eastAsia="宋体" w:cs="宋体"/>
          <w:szCs w:val="21"/>
        </w:rPr>
        <w:fldChar w:fldCharType="separate"/>
      </w:r>
      <w:r>
        <w:rPr>
          <w:rFonts w:hint="eastAsia" w:ascii="宋体" w:hAnsi="宋体" w:eastAsia="宋体" w:cs="宋体"/>
          <w:bCs w:val="0"/>
        </w:rPr>
        <w:t>一、磋商费用</w:t>
      </w:r>
      <w:r>
        <w:tab/>
      </w:r>
      <w:r>
        <w:fldChar w:fldCharType="begin"/>
      </w:r>
      <w:r>
        <w:instrText xml:space="preserve"> PAGEREF _Toc23654 \h </w:instrText>
      </w:r>
      <w:r>
        <w:fldChar w:fldCharType="separate"/>
      </w:r>
      <w:r>
        <w:t>- 14 -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_Toc8170 </w:instrText>
      </w:r>
      <w:r>
        <w:rPr>
          <w:rFonts w:hint="eastAsia" w:ascii="宋体" w:hAnsi="宋体" w:eastAsia="宋体" w:cs="宋体"/>
          <w:szCs w:val="21"/>
        </w:rPr>
        <w:fldChar w:fldCharType="separate"/>
      </w:r>
      <w:r>
        <w:rPr>
          <w:rFonts w:hint="eastAsia" w:ascii="宋体" w:hAnsi="宋体" w:eastAsia="宋体" w:cs="宋体"/>
          <w:bCs w:val="0"/>
        </w:rPr>
        <w:t>二、竞争性磋商文件</w:t>
      </w:r>
      <w:r>
        <w:tab/>
      </w:r>
      <w:r>
        <w:fldChar w:fldCharType="begin"/>
      </w:r>
      <w:r>
        <w:instrText xml:space="preserve"> PAGEREF _Toc8170 \h </w:instrText>
      </w:r>
      <w:r>
        <w:fldChar w:fldCharType="separate"/>
      </w:r>
      <w:r>
        <w:t>- 14 -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_Toc12693 </w:instrText>
      </w:r>
      <w:r>
        <w:rPr>
          <w:rFonts w:hint="eastAsia" w:ascii="宋体" w:hAnsi="宋体" w:eastAsia="宋体" w:cs="宋体"/>
          <w:szCs w:val="21"/>
        </w:rPr>
        <w:fldChar w:fldCharType="separate"/>
      </w:r>
      <w:r>
        <w:rPr>
          <w:rFonts w:hint="eastAsia" w:ascii="宋体" w:hAnsi="宋体" w:eastAsia="宋体" w:cs="宋体"/>
          <w:bCs w:val="0"/>
        </w:rPr>
        <w:t>三、磋商要求</w:t>
      </w:r>
      <w:r>
        <w:tab/>
      </w:r>
      <w:r>
        <w:fldChar w:fldCharType="begin"/>
      </w:r>
      <w:r>
        <w:instrText xml:space="preserve"> PAGEREF _Toc12693 \h </w:instrText>
      </w:r>
      <w:r>
        <w:fldChar w:fldCharType="separate"/>
      </w:r>
      <w:r>
        <w:t>- 14 -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_Toc2980 </w:instrText>
      </w:r>
      <w:r>
        <w:rPr>
          <w:rFonts w:hint="eastAsia" w:ascii="宋体" w:hAnsi="宋体" w:eastAsia="宋体" w:cs="宋体"/>
          <w:szCs w:val="21"/>
        </w:rPr>
        <w:fldChar w:fldCharType="separate"/>
      </w:r>
      <w:r>
        <w:rPr>
          <w:rFonts w:hint="eastAsia" w:ascii="宋体" w:hAnsi="宋体" w:eastAsia="宋体" w:cs="宋体"/>
          <w:bCs w:val="0"/>
        </w:rPr>
        <w:t>四、成交供应商的确认和变更</w:t>
      </w:r>
      <w:r>
        <w:tab/>
      </w:r>
      <w:r>
        <w:fldChar w:fldCharType="begin"/>
      </w:r>
      <w:r>
        <w:instrText xml:space="preserve"> PAGEREF _Toc2980 \h </w:instrText>
      </w:r>
      <w:r>
        <w:fldChar w:fldCharType="separate"/>
      </w:r>
      <w:r>
        <w:t>- 15 -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_Toc9526 </w:instrText>
      </w:r>
      <w:r>
        <w:rPr>
          <w:rFonts w:hint="eastAsia" w:ascii="宋体" w:hAnsi="宋体" w:eastAsia="宋体" w:cs="宋体"/>
          <w:szCs w:val="21"/>
        </w:rPr>
        <w:fldChar w:fldCharType="separate"/>
      </w:r>
      <w:r>
        <w:rPr>
          <w:rFonts w:hint="eastAsia" w:ascii="宋体" w:hAnsi="宋体" w:eastAsia="宋体" w:cs="宋体"/>
          <w:bCs w:val="0"/>
        </w:rPr>
        <w:t>五、成交通知</w:t>
      </w:r>
      <w:r>
        <w:tab/>
      </w:r>
      <w:r>
        <w:fldChar w:fldCharType="begin"/>
      </w:r>
      <w:r>
        <w:instrText xml:space="preserve"> PAGEREF _Toc9526 \h </w:instrText>
      </w:r>
      <w:r>
        <w:fldChar w:fldCharType="separate"/>
      </w:r>
      <w:r>
        <w:t>- 15 -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_Toc8820 </w:instrText>
      </w:r>
      <w:r>
        <w:rPr>
          <w:rFonts w:hint="eastAsia" w:ascii="宋体" w:hAnsi="宋体" w:eastAsia="宋体" w:cs="宋体"/>
          <w:szCs w:val="21"/>
        </w:rPr>
        <w:fldChar w:fldCharType="separate"/>
      </w:r>
      <w:r>
        <w:rPr>
          <w:rFonts w:hint="eastAsia" w:ascii="宋体" w:hAnsi="宋体" w:eastAsia="宋体" w:cs="宋体"/>
          <w:bCs w:val="0"/>
        </w:rPr>
        <w:t>六、关于质疑和投诉</w:t>
      </w:r>
      <w:r>
        <w:tab/>
      </w:r>
      <w:r>
        <w:fldChar w:fldCharType="begin"/>
      </w:r>
      <w:r>
        <w:instrText xml:space="preserve"> PAGEREF _Toc8820 \h </w:instrText>
      </w:r>
      <w:r>
        <w:fldChar w:fldCharType="separate"/>
      </w:r>
      <w:r>
        <w:t>- 16 -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_Toc18763 </w:instrText>
      </w:r>
      <w:r>
        <w:rPr>
          <w:rFonts w:hint="eastAsia" w:ascii="宋体" w:hAnsi="宋体" w:eastAsia="宋体" w:cs="宋体"/>
          <w:szCs w:val="21"/>
        </w:rPr>
        <w:fldChar w:fldCharType="separate"/>
      </w:r>
      <w:r>
        <w:rPr>
          <w:rFonts w:hint="eastAsia" w:ascii="宋体" w:hAnsi="宋体" w:eastAsia="宋体" w:cs="宋体"/>
          <w:bCs w:val="0"/>
        </w:rPr>
        <w:t>七、采购代理服务费</w:t>
      </w:r>
      <w:r>
        <w:tab/>
      </w:r>
      <w:r>
        <w:fldChar w:fldCharType="begin"/>
      </w:r>
      <w:r>
        <w:instrText xml:space="preserve"> PAGEREF _Toc18763 \h </w:instrText>
      </w:r>
      <w:r>
        <w:fldChar w:fldCharType="separate"/>
      </w:r>
      <w:r>
        <w:t>- 17 -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_Toc17343 </w:instrText>
      </w:r>
      <w:r>
        <w:rPr>
          <w:rFonts w:hint="eastAsia" w:ascii="宋体" w:hAnsi="宋体" w:eastAsia="宋体" w:cs="宋体"/>
          <w:szCs w:val="21"/>
        </w:rPr>
        <w:fldChar w:fldCharType="separate"/>
      </w:r>
      <w:r>
        <w:rPr>
          <w:rFonts w:hint="eastAsia" w:ascii="宋体" w:hAnsi="宋体" w:eastAsia="宋体" w:cs="宋体"/>
          <w:bCs w:val="0"/>
        </w:rPr>
        <w:t>八、签订合同</w:t>
      </w:r>
      <w:r>
        <w:tab/>
      </w:r>
      <w:r>
        <w:fldChar w:fldCharType="begin"/>
      </w:r>
      <w:r>
        <w:instrText xml:space="preserve"> PAGEREF _Toc17343 \h </w:instrText>
      </w:r>
      <w:r>
        <w:fldChar w:fldCharType="separate"/>
      </w:r>
      <w:r>
        <w:t>- 17 -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_Toc26478 </w:instrText>
      </w:r>
      <w:r>
        <w:rPr>
          <w:rFonts w:hint="eastAsia" w:ascii="宋体" w:hAnsi="宋体" w:eastAsia="宋体" w:cs="宋体"/>
          <w:szCs w:val="21"/>
        </w:rPr>
        <w:fldChar w:fldCharType="separate"/>
      </w:r>
      <w:r>
        <w:rPr>
          <w:rFonts w:hint="eastAsia" w:ascii="宋体" w:hAnsi="宋体" w:eastAsia="宋体" w:cs="宋体"/>
          <w:szCs w:val="30"/>
        </w:rPr>
        <w:t>第六篇  采购合同</w:t>
      </w:r>
      <w:r>
        <w:tab/>
      </w:r>
      <w:r>
        <w:fldChar w:fldCharType="begin"/>
      </w:r>
      <w:r>
        <w:instrText xml:space="preserve"> PAGEREF _Toc26478 \h </w:instrText>
      </w:r>
      <w:r>
        <w:fldChar w:fldCharType="separate"/>
      </w:r>
      <w:r>
        <w:t>- 18 -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_Toc25458 </w:instrText>
      </w:r>
      <w:r>
        <w:rPr>
          <w:rFonts w:hint="eastAsia" w:ascii="宋体" w:hAnsi="宋体" w:eastAsia="宋体" w:cs="宋体"/>
          <w:szCs w:val="21"/>
        </w:rPr>
        <w:fldChar w:fldCharType="separate"/>
      </w:r>
      <w:r>
        <w:rPr>
          <w:rFonts w:hint="eastAsia" w:ascii="宋体" w:hAnsi="宋体" w:eastAsia="宋体" w:cs="宋体"/>
          <w:szCs w:val="30"/>
        </w:rPr>
        <w:t>第七篇  响应文件编制要求</w:t>
      </w:r>
      <w:r>
        <w:tab/>
      </w:r>
      <w:r>
        <w:fldChar w:fldCharType="begin"/>
      </w:r>
      <w:r>
        <w:instrText xml:space="preserve"> PAGEREF _Toc25458 \h </w:instrText>
      </w:r>
      <w:r>
        <w:fldChar w:fldCharType="separate"/>
      </w:r>
      <w:r>
        <w:t>- 19 -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_Toc6562 </w:instrText>
      </w:r>
      <w:r>
        <w:rPr>
          <w:rFonts w:hint="eastAsia" w:ascii="宋体" w:hAnsi="宋体" w:eastAsia="宋体" w:cs="宋体"/>
          <w:szCs w:val="21"/>
        </w:rPr>
        <w:fldChar w:fldCharType="separate"/>
      </w:r>
      <w:r>
        <w:rPr>
          <w:rFonts w:hint="eastAsia" w:ascii="宋体" w:hAnsi="宋体" w:eastAsia="宋体" w:cs="宋体"/>
          <w:bCs w:val="0"/>
        </w:rPr>
        <w:t>一、经济部分</w:t>
      </w:r>
      <w:r>
        <w:tab/>
      </w:r>
      <w:r>
        <w:fldChar w:fldCharType="begin"/>
      </w:r>
      <w:r>
        <w:instrText xml:space="preserve"> PAGEREF _Toc6562 \h </w:instrText>
      </w:r>
      <w:r>
        <w:fldChar w:fldCharType="separate"/>
      </w:r>
      <w:r>
        <w:t>- 20 -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_Toc6668 </w:instrText>
      </w:r>
      <w:r>
        <w:rPr>
          <w:rFonts w:hint="eastAsia" w:ascii="宋体" w:hAnsi="宋体" w:eastAsia="宋体" w:cs="宋体"/>
          <w:szCs w:val="21"/>
        </w:rPr>
        <w:fldChar w:fldCharType="separate"/>
      </w:r>
      <w:r>
        <w:rPr>
          <w:rFonts w:hint="eastAsia" w:ascii="宋体" w:hAnsi="宋体" w:eastAsia="宋体" w:cs="宋体"/>
          <w:bCs w:val="0"/>
        </w:rPr>
        <w:t>二、服务部分</w:t>
      </w:r>
      <w:r>
        <w:tab/>
      </w:r>
      <w:r>
        <w:fldChar w:fldCharType="begin"/>
      </w:r>
      <w:r>
        <w:instrText xml:space="preserve"> PAGEREF _Toc6668 \h </w:instrText>
      </w:r>
      <w:r>
        <w:fldChar w:fldCharType="separate"/>
      </w:r>
      <w:r>
        <w:t>- 22 -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_Toc2769 </w:instrText>
      </w:r>
      <w:r>
        <w:rPr>
          <w:rFonts w:hint="eastAsia" w:ascii="宋体" w:hAnsi="宋体" w:eastAsia="宋体" w:cs="宋体"/>
          <w:szCs w:val="21"/>
        </w:rPr>
        <w:fldChar w:fldCharType="separate"/>
      </w:r>
      <w:r>
        <w:rPr>
          <w:rFonts w:hint="eastAsia" w:ascii="宋体" w:hAnsi="宋体" w:eastAsia="宋体" w:cs="宋体"/>
          <w:bCs w:val="0"/>
        </w:rPr>
        <w:t>三、商务部分</w:t>
      </w:r>
      <w:r>
        <w:tab/>
      </w:r>
      <w:r>
        <w:fldChar w:fldCharType="begin"/>
      </w:r>
      <w:r>
        <w:instrText xml:space="preserve"> PAGEREF _Toc2769 \h </w:instrText>
      </w:r>
      <w:r>
        <w:fldChar w:fldCharType="separate"/>
      </w:r>
      <w:r>
        <w:t>- 24 -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_Toc4523 </w:instrText>
      </w:r>
      <w:r>
        <w:rPr>
          <w:rFonts w:hint="eastAsia" w:ascii="宋体" w:hAnsi="宋体" w:eastAsia="宋体" w:cs="宋体"/>
          <w:szCs w:val="21"/>
        </w:rPr>
        <w:fldChar w:fldCharType="separate"/>
      </w:r>
      <w:r>
        <w:rPr>
          <w:rFonts w:hint="eastAsia" w:ascii="宋体" w:hAnsi="宋体" w:eastAsia="宋体" w:cs="宋体"/>
          <w:bCs w:val="0"/>
        </w:rPr>
        <w:t>四、资格条件</w:t>
      </w:r>
      <w:r>
        <w:tab/>
      </w:r>
      <w:r>
        <w:fldChar w:fldCharType="begin"/>
      </w:r>
      <w:r>
        <w:instrText xml:space="preserve"> PAGEREF _Toc4523 \h </w:instrText>
      </w:r>
      <w:r>
        <w:fldChar w:fldCharType="separate"/>
      </w:r>
      <w:r>
        <w:t>- 26 -</w:t>
      </w:r>
      <w:r>
        <w:fldChar w:fldCharType="end"/>
      </w:r>
      <w:r>
        <w:rPr>
          <w:rFonts w:hint="eastAsia" w:ascii="宋体" w:hAnsi="宋体" w:eastAsia="宋体" w:cs="宋体"/>
          <w:szCs w:val="21"/>
        </w:rPr>
        <w:fldChar w:fldCharType="end"/>
      </w:r>
    </w:p>
    <w:p>
      <w:pPr>
        <w:pStyle w:val="23"/>
        <w:tabs>
          <w:tab w:val="right" w:leader="dot" w:pos="9412"/>
        </w:tabs>
      </w:pPr>
      <w:r>
        <w:rPr>
          <w:rFonts w:hint="eastAsia" w:ascii="宋体" w:hAnsi="宋体" w:eastAsia="宋体" w:cs="宋体"/>
          <w:szCs w:val="21"/>
        </w:rPr>
        <w:fldChar w:fldCharType="begin"/>
      </w:r>
      <w:r>
        <w:rPr>
          <w:rFonts w:hint="eastAsia" w:ascii="宋体" w:hAnsi="宋体" w:eastAsia="宋体" w:cs="宋体"/>
          <w:szCs w:val="21"/>
        </w:rPr>
        <w:instrText xml:space="preserve"> HYPERLINK \l _Toc9230 </w:instrText>
      </w:r>
      <w:r>
        <w:rPr>
          <w:rFonts w:hint="eastAsia" w:ascii="宋体" w:hAnsi="宋体" w:eastAsia="宋体" w:cs="宋体"/>
          <w:szCs w:val="21"/>
        </w:rPr>
        <w:fldChar w:fldCharType="separate"/>
      </w:r>
      <w:r>
        <w:rPr>
          <w:rFonts w:hint="eastAsia" w:ascii="宋体" w:hAnsi="宋体" w:eastAsia="宋体" w:cs="宋体"/>
          <w:bCs w:val="0"/>
        </w:rPr>
        <w:t>五、其他资料</w:t>
      </w:r>
      <w:r>
        <w:tab/>
      </w:r>
      <w:r>
        <w:fldChar w:fldCharType="begin"/>
      </w:r>
      <w:r>
        <w:instrText xml:space="preserve"> PAGEREF _Toc9230 \h </w:instrText>
      </w:r>
      <w:r>
        <w:fldChar w:fldCharType="separate"/>
      </w:r>
      <w:r>
        <w:t>- 31 -</w:t>
      </w:r>
      <w:r>
        <w:fldChar w:fldCharType="end"/>
      </w:r>
      <w:r>
        <w:rPr>
          <w:rFonts w:hint="eastAsia" w:ascii="宋体" w:hAnsi="宋体" w:eastAsia="宋体" w:cs="宋体"/>
          <w:szCs w:val="21"/>
        </w:rPr>
        <w:fldChar w:fldCharType="end"/>
      </w:r>
    </w:p>
    <w:p>
      <w:pPr>
        <w:pStyle w:val="23"/>
        <w:tabs>
          <w:tab w:val="right" w:leader="dot" w:pos="9402"/>
        </w:tabs>
        <w:spacing w:line="480" w:lineRule="exact"/>
        <w:ind w:left="560"/>
        <w:jc w:val="center"/>
        <w:rPr>
          <w:rFonts w:hint="eastAsia" w:ascii="宋体" w:hAnsi="宋体" w:eastAsia="宋体" w:cs="宋体"/>
          <w:sz w:val="18"/>
          <w:szCs w:val="22"/>
        </w:rPr>
        <w:sectPr>
          <w:pgSz w:w="11907" w:h="16840"/>
          <w:pgMar w:top="1134" w:right="1191" w:bottom="1134" w:left="1304" w:header="851" w:footer="992" w:gutter="0"/>
          <w:pgNumType w:fmt="numberInDash" w:start="1"/>
          <w:cols w:space="720" w:num="1"/>
          <w:docGrid w:linePitch="381" w:charSpace="-5735"/>
        </w:sectPr>
      </w:pPr>
      <w:r>
        <w:rPr>
          <w:rFonts w:hint="eastAsia" w:ascii="宋体" w:hAnsi="宋体" w:eastAsia="宋体" w:cs="宋体"/>
          <w:szCs w:val="21"/>
        </w:rPr>
        <w:fldChar w:fldCharType="end"/>
      </w:r>
      <w:bookmarkEnd w:id="6"/>
    </w:p>
    <w:p>
      <w:pPr>
        <w:pStyle w:val="2"/>
        <w:numPr>
          <w:ilvl w:val="1"/>
          <w:numId w:val="0"/>
        </w:numPr>
        <w:spacing w:line="360" w:lineRule="auto"/>
        <w:jc w:val="center"/>
        <w:rPr>
          <w:rFonts w:hint="eastAsia" w:ascii="宋体" w:hAnsi="宋体" w:eastAsia="宋体" w:cs="宋体"/>
          <w:szCs w:val="30"/>
        </w:rPr>
      </w:pPr>
      <w:bookmarkStart w:id="7" w:name="_Toc76462316"/>
      <w:bookmarkStart w:id="8" w:name="_Toc9852"/>
      <w:bookmarkStart w:id="9" w:name="_Toc106030870"/>
      <w:bookmarkStart w:id="10" w:name="_Toc25962"/>
      <w:bookmarkStart w:id="11" w:name="_Toc181"/>
      <w:bookmarkStart w:id="12" w:name="_Toc4932"/>
      <w:bookmarkStart w:id="13" w:name="_Toc11641050"/>
      <w:bookmarkStart w:id="14" w:name="_Toc4184"/>
      <w:bookmarkStart w:id="15" w:name="_Toc12789052"/>
      <w:r>
        <w:rPr>
          <w:rFonts w:hint="eastAsia" w:ascii="宋体" w:hAnsi="宋体" w:eastAsia="宋体" w:cs="宋体"/>
          <w:sz w:val="36"/>
          <w:szCs w:val="30"/>
        </w:rPr>
        <w:t>第一篇  采购邀请书</w:t>
      </w:r>
      <w:bookmarkEnd w:id="7"/>
      <w:bookmarkEnd w:id="8"/>
      <w:bookmarkEnd w:id="9"/>
      <w:bookmarkEnd w:id="10"/>
      <w:bookmarkEnd w:id="11"/>
      <w:bookmarkEnd w:id="12"/>
      <w:bookmarkEnd w:id="13"/>
      <w:bookmarkEnd w:id="14"/>
      <w:bookmarkEnd w:id="15"/>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sz w:val="24"/>
          <w:szCs w:val="24"/>
        </w:rPr>
        <w:t>重庆千策招标代理有限公司（以下简称：采购代理机构）接受</w:t>
      </w:r>
      <w:r>
        <w:rPr>
          <w:rFonts w:hint="eastAsia" w:ascii="宋体" w:hAnsi="宋体" w:cs="宋体"/>
          <w:sz w:val="24"/>
          <w:szCs w:val="24"/>
          <w:lang w:eastAsia="zh-CN"/>
        </w:rPr>
        <w:t>重庆市第十一人民医院（重庆市优抚医院）</w:t>
      </w:r>
      <w:r>
        <w:rPr>
          <w:rFonts w:hint="eastAsia" w:ascii="宋体" w:hAnsi="宋体" w:eastAsia="宋体" w:cs="宋体"/>
          <w:sz w:val="24"/>
          <w:szCs w:val="24"/>
        </w:rPr>
        <w:t>（以下简称：采购人）</w:t>
      </w:r>
      <w:r>
        <w:rPr>
          <w:rFonts w:hint="eastAsia" w:ascii="宋体" w:hAnsi="宋体" w:eastAsia="宋体" w:cs="宋体"/>
          <w:color w:val="auto"/>
          <w:sz w:val="24"/>
          <w:szCs w:val="24"/>
        </w:rPr>
        <w:t>的委托，对</w:t>
      </w:r>
      <w:r>
        <w:rPr>
          <w:rFonts w:hint="eastAsia" w:ascii="宋体" w:hAnsi="宋体" w:cs="宋体"/>
          <w:color w:val="auto"/>
          <w:sz w:val="24"/>
          <w:szCs w:val="24"/>
          <w:lang w:eastAsia="zh-CN"/>
        </w:rPr>
        <w:t>建院70周年文创纪念品设计制作项目</w:t>
      </w:r>
      <w:r>
        <w:rPr>
          <w:rFonts w:hint="eastAsia" w:ascii="宋体" w:hAnsi="宋体" w:eastAsia="宋体" w:cs="宋体"/>
          <w:color w:val="auto"/>
          <w:sz w:val="24"/>
          <w:szCs w:val="24"/>
        </w:rPr>
        <w:t>进行竞争性磋商采购。欢迎有资格的供应商前来参与磋商。</w:t>
      </w:r>
    </w:p>
    <w:p>
      <w:pPr>
        <w:pStyle w:val="2"/>
        <w:numPr>
          <w:ilvl w:val="1"/>
          <w:numId w:val="0"/>
        </w:numPr>
        <w:adjustRightInd w:val="0"/>
        <w:snapToGrid w:val="0"/>
        <w:spacing w:line="400" w:lineRule="exact"/>
        <w:rPr>
          <w:rFonts w:hint="eastAsia" w:ascii="宋体" w:hAnsi="宋体" w:eastAsia="宋体" w:cs="宋体"/>
          <w:b/>
          <w:bCs w:val="0"/>
          <w:color w:val="auto"/>
          <w:sz w:val="24"/>
        </w:rPr>
      </w:pPr>
      <w:bookmarkStart w:id="16" w:name="_Toc22832"/>
      <w:bookmarkStart w:id="17" w:name="_Toc313893526"/>
      <w:bookmarkStart w:id="18" w:name="_Toc31165"/>
      <w:bookmarkStart w:id="19" w:name="_Toc76462317"/>
      <w:bookmarkStart w:id="20" w:name="_Toc20549"/>
      <w:bookmarkStart w:id="21" w:name="_Toc317775175"/>
      <w:bookmarkStart w:id="22" w:name="_Toc106030871"/>
      <w:bookmarkStart w:id="23" w:name="_Toc9379"/>
      <w:bookmarkStart w:id="24" w:name="_Toc27081"/>
      <w:r>
        <w:rPr>
          <w:rFonts w:hint="eastAsia" w:ascii="宋体" w:hAnsi="宋体" w:eastAsia="宋体" w:cs="宋体"/>
          <w:b/>
          <w:bCs w:val="0"/>
          <w:color w:val="auto"/>
          <w:sz w:val="24"/>
        </w:rPr>
        <w:t>一、竞争性磋商内容</w:t>
      </w:r>
      <w:bookmarkEnd w:id="16"/>
      <w:bookmarkEnd w:id="17"/>
      <w:bookmarkEnd w:id="18"/>
      <w:bookmarkEnd w:id="19"/>
      <w:bookmarkEnd w:id="20"/>
      <w:bookmarkEnd w:id="21"/>
      <w:bookmarkEnd w:id="22"/>
      <w:bookmarkEnd w:id="23"/>
      <w:bookmarkEnd w:id="24"/>
    </w:p>
    <w:tbl>
      <w:tblPr>
        <w:tblStyle w:val="28"/>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1317"/>
        <w:gridCol w:w="1608"/>
        <w:gridCol w:w="1100"/>
        <w:gridCol w:w="172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411" w:type="dxa"/>
            <w:tcBorders>
              <w:top w:val="single" w:color="auto" w:sz="4" w:space="0"/>
              <w:left w:val="single" w:color="auto" w:sz="4" w:space="0"/>
              <w:right w:val="single" w:color="auto" w:sz="4" w:space="0"/>
            </w:tcBorders>
            <w:vAlign w:val="center"/>
          </w:tcPr>
          <w:p>
            <w:pPr>
              <w:widowControl/>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磋商项目名称</w:t>
            </w:r>
          </w:p>
        </w:tc>
        <w:tc>
          <w:tcPr>
            <w:tcW w:w="1317"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
                <w:bCs/>
                <w:color w:val="auto"/>
                <w:kern w:val="0"/>
                <w:sz w:val="21"/>
                <w:szCs w:val="21"/>
              </w:rPr>
            </w:pPr>
            <w:r>
              <w:rPr>
                <w:rFonts w:hint="eastAsia" w:ascii="宋体" w:hAnsi="宋体" w:cs="宋体"/>
                <w:b/>
                <w:bCs/>
                <w:color w:val="auto"/>
                <w:kern w:val="0"/>
                <w:sz w:val="21"/>
                <w:szCs w:val="21"/>
                <w:lang w:eastAsia="zh-CN"/>
              </w:rPr>
              <w:t>总价</w:t>
            </w:r>
            <w:r>
              <w:rPr>
                <w:rFonts w:hint="eastAsia" w:ascii="宋体" w:hAnsi="宋体" w:eastAsia="宋体" w:cs="宋体"/>
                <w:b/>
                <w:bCs/>
                <w:color w:val="auto"/>
                <w:kern w:val="0"/>
                <w:sz w:val="21"/>
                <w:szCs w:val="21"/>
              </w:rPr>
              <w:t>最高限价（万元）</w:t>
            </w:r>
          </w:p>
        </w:tc>
        <w:tc>
          <w:tcPr>
            <w:tcW w:w="1608" w:type="dxa"/>
            <w:tcBorders>
              <w:top w:val="single" w:color="auto" w:sz="4" w:space="0"/>
              <w:left w:val="single" w:color="auto" w:sz="4" w:space="0"/>
              <w:right w:val="single" w:color="auto" w:sz="4" w:space="0"/>
            </w:tcBorders>
            <w:vAlign w:val="center"/>
          </w:tcPr>
          <w:p>
            <w:pPr>
              <w:jc w:val="center"/>
              <w:rPr>
                <w:rFonts w:hint="eastAsia" w:ascii="宋体" w:hAnsi="宋体" w:cs="宋体"/>
                <w:b/>
                <w:bCs/>
                <w:color w:val="auto"/>
                <w:kern w:val="0"/>
                <w:sz w:val="21"/>
                <w:szCs w:val="21"/>
                <w:lang w:eastAsia="zh-CN"/>
              </w:rPr>
            </w:pPr>
            <w:r>
              <w:rPr>
                <w:rFonts w:hint="eastAsia" w:ascii="宋体" w:hAnsi="宋体" w:cs="宋体"/>
                <w:b/>
                <w:bCs/>
                <w:color w:val="auto"/>
                <w:kern w:val="0"/>
                <w:sz w:val="21"/>
                <w:szCs w:val="21"/>
                <w:lang w:eastAsia="zh-CN"/>
              </w:rPr>
              <w:t>单价最高限价（元</w:t>
            </w:r>
            <w:r>
              <w:rPr>
                <w:rFonts w:hint="eastAsia" w:ascii="宋体" w:hAnsi="宋体" w:cs="宋体"/>
                <w:b/>
                <w:bCs/>
                <w:color w:val="auto"/>
                <w:kern w:val="0"/>
                <w:sz w:val="21"/>
                <w:szCs w:val="21"/>
                <w:lang w:val="en-US" w:eastAsia="zh-CN"/>
              </w:rPr>
              <w:t>/套</w:t>
            </w:r>
            <w:r>
              <w:rPr>
                <w:rFonts w:hint="eastAsia" w:ascii="宋体" w:hAnsi="宋体" w:cs="宋体"/>
                <w:b/>
                <w:bCs/>
                <w:color w:val="auto"/>
                <w:kern w:val="0"/>
                <w:sz w:val="21"/>
                <w:szCs w:val="21"/>
                <w:lang w:eastAsia="zh-CN"/>
              </w:rPr>
              <w:t>）</w:t>
            </w:r>
          </w:p>
        </w:tc>
        <w:tc>
          <w:tcPr>
            <w:tcW w:w="1100"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保证金</w:t>
            </w:r>
          </w:p>
          <w:p>
            <w:pPr>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（万元）</w:t>
            </w:r>
          </w:p>
        </w:tc>
        <w:tc>
          <w:tcPr>
            <w:tcW w:w="1725"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成交供应商数量（名）</w:t>
            </w:r>
          </w:p>
        </w:tc>
        <w:tc>
          <w:tcPr>
            <w:tcW w:w="835" w:type="dxa"/>
            <w:tcBorders>
              <w:top w:val="single" w:color="auto" w:sz="4" w:space="0"/>
              <w:left w:val="single" w:color="auto" w:sz="4" w:space="0"/>
              <w:right w:val="single" w:color="auto" w:sz="4" w:space="0"/>
            </w:tcBorders>
            <w:vAlign w:val="center"/>
          </w:tcPr>
          <w:p>
            <w:pPr>
              <w:jc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kern w:val="0"/>
                <w:sz w:val="21"/>
                <w:szCs w:val="21"/>
                <w:lang w:eastAsia="zh-CN"/>
              </w:rPr>
            </w:pPr>
            <w:bookmarkStart w:id="25" w:name="_Hlk344477914"/>
            <w:r>
              <w:rPr>
                <w:rFonts w:hint="eastAsia" w:ascii="宋体" w:hAnsi="宋体" w:cs="宋体"/>
                <w:color w:val="auto"/>
                <w:sz w:val="21"/>
                <w:szCs w:val="21"/>
                <w:lang w:eastAsia="zh-CN"/>
              </w:rPr>
              <w:t>建院70周年文创纪念品设计制作项目</w:t>
            </w:r>
          </w:p>
        </w:tc>
        <w:tc>
          <w:tcPr>
            <w:tcW w:w="131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1"/>
                <w:szCs w:val="21"/>
                <w:lang w:val="en-US" w:eastAsia="zh-CN"/>
              </w:rPr>
            </w:pPr>
            <w:r>
              <w:rPr>
                <w:rFonts w:hint="eastAsia" w:ascii="宋体" w:hAnsi="宋体" w:cs="宋体"/>
                <w:color w:val="auto"/>
                <w:kern w:val="0"/>
                <w:sz w:val="21"/>
                <w:szCs w:val="21"/>
                <w:lang w:val="en-US" w:eastAsia="zh-CN"/>
              </w:rPr>
              <w:t>30</w:t>
            </w:r>
          </w:p>
        </w:tc>
        <w:tc>
          <w:tcPr>
            <w:tcW w:w="16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300</w:t>
            </w:r>
          </w:p>
        </w:tc>
        <w:tc>
          <w:tcPr>
            <w:tcW w:w="110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0.</w:t>
            </w:r>
            <w:r>
              <w:rPr>
                <w:rFonts w:hint="eastAsia" w:ascii="宋体" w:hAnsi="宋体" w:cs="宋体"/>
                <w:color w:val="auto"/>
                <w:kern w:val="0"/>
                <w:sz w:val="21"/>
                <w:szCs w:val="21"/>
                <w:lang w:val="en-US" w:eastAsia="zh-CN"/>
              </w:rPr>
              <w:t>6</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835"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无</w:t>
            </w:r>
          </w:p>
        </w:tc>
      </w:tr>
      <w:bookmarkEnd w:id="25"/>
    </w:tbl>
    <w:p>
      <w:pPr>
        <w:pStyle w:val="2"/>
        <w:numPr>
          <w:ilvl w:val="1"/>
          <w:numId w:val="0"/>
        </w:numPr>
        <w:adjustRightInd w:val="0"/>
        <w:snapToGrid w:val="0"/>
        <w:spacing w:line="400" w:lineRule="exact"/>
        <w:rPr>
          <w:rFonts w:hint="eastAsia" w:ascii="宋体" w:hAnsi="宋体" w:eastAsia="宋体" w:cs="宋体"/>
          <w:b/>
          <w:bCs w:val="0"/>
          <w:color w:val="auto"/>
          <w:sz w:val="24"/>
        </w:rPr>
      </w:pPr>
      <w:bookmarkStart w:id="26" w:name="_Toc1025"/>
      <w:bookmarkStart w:id="27" w:name="_Toc10459"/>
      <w:bookmarkStart w:id="28" w:name="_Toc76462319"/>
      <w:bookmarkStart w:id="29" w:name="_Toc106030873"/>
      <w:bookmarkStart w:id="30" w:name="_Toc29253"/>
      <w:bookmarkStart w:id="31" w:name="_Toc21041"/>
      <w:bookmarkStart w:id="32" w:name="_Toc21123"/>
      <w:bookmarkStart w:id="33" w:name="_Toc373860293"/>
      <w:bookmarkStart w:id="34" w:name="_Toc317775178"/>
      <w:r>
        <w:rPr>
          <w:rFonts w:hint="eastAsia" w:ascii="宋体" w:hAnsi="宋体" w:eastAsia="宋体" w:cs="宋体"/>
          <w:b/>
          <w:bCs w:val="0"/>
          <w:color w:val="auto"/>
          <w:sz w:val="24"/>
        </w:rPr>
        <w:t>二、资金来源</w:t>
      </w:r>
      <w:bookmarkEnd w:id="26"/>
    </w:p>
    <w:p>
      <w:pPr>
        <w:spacing w:line="400" w:lineRule="exact"/>
        <w:ind w:firstLine="480" w:firstLineChars="200"/>
        <w:rPr>
          <w:rFonts w:hint="eastAsia" w:ascii="宋体" w:hAnsi="宋体" w:eastAsia="宋体" w:cs="宋体"/>
          <w:sz w:val="24"/>
          <w:szCs w:val="24"/>
        </w:rPr>
      </w:pPr>
      <w:r>
        <w:rPr>
          <w:rFonts w:hint="eastAsia" w:ascii="宋体" w:hAnsi="宋体" w:cs="宋体"/>
          <w:sz w:val="24"/>
          <w:szCs w:val="24"/>
          <w:lang w:val="en-US" w:eastAsia="zh-CN"/>
        </w:rPr>
        <w:t>财政</w:t>
      </w:r>
      <w:r>
        <w:rPr>
          <w:rFonts w:hint="eastAsia" w:ascii="宋体" w:hAnsi="宋体" w:eastAsia="宋体" w:cs="宋体"/>
          <w:sz w:val="24"/>
          <w:szCs w:val="24"/>
        </w:rPr>
        <w:t>资金，预算金额</w:t>
      </w:r>
      <w:r>
        <w:rPr>
          <w:rFonts w:hint="eastAsia" w:ascii="宋体" w:hAnsi="宋体" w:cs="宋体"/>
          <w:sz w:val="24"/>
          <w:szCs w:val="24"/>
          <w:lang w:val="en-US" w:eastAsia="zh-CN"/>
        </w:rPr>
        <w:t>30</w:t>
      </w:r>
      <w:r>
        <w:rPr>
          <w:rFonts w:hint="eastAsia" w:ascii="宋体" w:hAnsi="宋体" w:eastAsia="宋体" w:cs="宋体"/>
          <w:sz w:val="24"/>
          <w:szCs w:val="24"/>
        </w:rPr>
        <w:t>万元。</w:t>
      </w:r>
    </w:p>
    <w:p>
      <w:pPr>
        <w:pStyle w:val="2"/>
        <w:numPr>
          <w:ilvl w:val="1"/>
          <w:numId w:val="0"/>
        </w:numPr>
        <w:adjustRightInd w:val="0"/>
        <w:snapToGrid w:val="0"/>
        <w:spacing w:line="400" w:lineRule="exact"/>
        <w:rPr>
          <w:rFonts w:hint="eastAsia" w:ascii="宋体" w:hAnsi="宋体" w:eastAsia="宋体" w:cs="宋体"/>
          <w:b/>
          <w:bCs w:val="0"/>
          <w:sz w:val="24"/>
        </w:rPr>
      </w:pPr>
      <w:bookmarkStart w:id="35" w:name="_Toc14633"/>
      <w:r>
        <w:rPr>
          <w:rFonts w:hint="eastAsia" w:ascii="宋体" w:hAnsi="宋体" w:eastAsia="宋体" w:cs="宋体"/>
          <w:b/>
          <w:bCs w:val="0"/>
          <w:sz w:val="24"/>
        </w:rPr>
        <w:t>三、供应商资格条件</w:t>
      </w:r>
      <w:bookmarkEnd w:id="27"/>
      <w:bookmarkEnd w:id="28"/>
      <w:bookmarkEnd w:id="29"/>
      <w:bookmarkEnd w:id="30"/>
      <w:bookmarkEnd w:id="31"/>
      <w:bookmarkEnd w:id="32"/>
      <w:bookmarkEnd w:id="35"/>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（一）满足《中华人民共和国政府采购法》第二十二条规定。</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（二）本项目的特定资格要求：无。</w:t>
      </w:r>
    </w:p>
    <w:p>
      <w:pPr>
        <w:pStyle w:val="2"/>
        <w:numPr>
          <w:ilvl w:val="1"/>
          <w:numId w:val="0"/>
        </w:numPr>
        <w:adjustRightInd w:val="0"/>
        <w:snapToGrid w:val="0"/>
        <w:spacing w:line="400" w:lineRule="exact"/>
        <w:rPr>
          <w:rFonts w:hint="eastAsia" w:ascii="宋体" w:hAnsi="宋体" w:eastAsia="宋体" w:cs="宋体"/>
          <w:b/>
          <w:bCs w:val="0"/>
          <w:sz w:val="24"/>
        </w:rPr>
      </w:pPr>
      <w:bookmarkStart w:id="36" w:name="_Toc1125"/>
      <w:bookmarkStart w:id="37" w:name="_Toc76462320"/>
      <w:bookmarkStart w:id="38" w:name="_Toc20997"/>
      <w:bookmarkStart w:id="39" w:name="_Toc26353"/>
      <w:bookmarkStart w:id="40" w:name="_Toc13709"/>
      <w:bookmarkStart w:id="41" w:name="_Toc106030874"/>
      <w:bookmarkStart w:id="42" w:name="_Toc24774"/>
      <w:r>
        <w:rPr>
          <w:rFonts w:hint="eastAsia" w:ascii="宋体" w:hAnsi="宋体" w:eastAsia="宋体" w:cs="宋体"/>
          <w:b/>
          <w:bCs w:val="0"/>
          <w:sz w:val="24"/>
        </w:rPr>
        <w:t>四、磋商有关说明</w:t>
      </w:r>
      <w:bookmarkEnd w:id="33"/>
      <w:bookmarkEnd w:id="36"/>
      <w:bookmarkEnd w:id="37"/>
      <w:bookmarkEnd w:id="38"/>
      <w:bookmarkEnd w:id="39"/>
      <w:bookmarkEnd w:id="40"/>
      <w:bookmarkEnd w:id="41"/>
      <w:bookmarkEnd w:id="42"/>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（一）请有意参加本项目的供应商按要求进行注册，通过“行采家”（ </w:t>
      </w:r>
      <w:r>
        <w:rPr>
          <w:rFonts w:hint="eastAsia" w:ascii="宋体" w:hAnsi="宋体" w:eastAsia="宋体" w:cs="宋体"/>
        </w:rPr>
        <w:fldChar w:fldCharType="begin"/>
      </w:r>
      <w:r>
        <w:rPr>
          <w:rFonts w:hint="eastAsia" w:ascii="宋体" w:hAnsi="宋体" w:eastAsia="宋体" w:cs="宋体"/>
        </w:rPr>
        <w:instrText xml:space="preserve"> HYPERLINK "https://www.gec123.com/），登记加入" </w:instrText>
      </w:r>
      <w:r>
        <w:rPr>
          <w:rFonts w:hint="eastAsia" w:ascii="宋体" w:hAnsi="宋体" w:eastAsia="宋体" w:cs="宋体"/>
        </w:rPr>
        <w:fldChar w:fldCharType="separate"/>
      </w:r>
      <w:r>
        <w:rPr>
          <w:rFonts w:hint="eastAsia" w:ascii="宋体" w:hAnsi="宋体" w:eastAsia="宋体" w:cs="宋体"/>
          <w:sz w:val="24"/>
          <w:szCs w:val="24"/>
        </w:rPr>
        <w:t>https://www.gec123.com/），登记加入“行采家供应商库”。</w:t>
      </w:r>
      <w:r>
        <w:rPr>
          <w:rFonts w:hint="eastAsia" w:ascii="宋体" w:hAnsi="宋体" w:eastAsia="宋体" w:cs="宋体"/>
          <w:sz w:val="24"/>
          <w:szCs w:val="24"/>
        </w:rPr>
        <w:fldChar w:fldCharType="end"/>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（二）凡有意参加磋商的供应商，请在“行采家”（ https://www.gec123.com/）网上下载本项目竞争性磋商文件以及图纸、澄清等磋商前公布的所有项目资料，无论供应商下载与否，均视为已知晓所有磋商实质性要求内容。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（三）竞争性磋商公告期限：自采购公告发布之日起三个工作日。</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（四）竞争性磋商文件发售期限： </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1.竞争性磋商文件发售期：202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3</w:t>
      </w:r>
      <w:r>
        <w:rPr>
          <w:rFonts w:hint="eastAsia" w:ascii="宋体" w:hAnsi="宋体" w:eastAsia="宋体" w:cs="宋体"/>
          <w:sz w:val="24"/>
          <w:szCs w:val="24"/>
        </w:rPr>
        <w:t>月</w:t>
      </w:r>
      <w:r>
        <w:rPr>
          <w:rFonts w:hint="eastAsia" w:ascii="宋体" w:hAnsi="宋体" w:cs="宋体"/>
          <w:sz w:val="24"/>
          <w:szCs w:val="24"/>
          <w:lang w:val="en-US" w:eastAsia="zh-CN"/>
        </w:rPr>
        <w:t>26</w:t>
      </w:r>
      <w:r>
        <w:rPr>
          <w:rFonts w:hint="eastAsia" w:ascii="宋体" w:hAnsi="宋体" w:eastAsia="宋体" w:cs="宋体"/>
          <w:sz w:val="24"/>
          <w:szCs w:val="24"/>
        </w:rPr>
        <w:t>日至202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2</w:t>
      </w:r>
      <w:r>
        <w:rPr>
          <w:rFonts w:hint="eastAsia" w:ascii="宋体" w:hAnsi="宋体" w:eastAsia="宋体" w:cs="宋体"/>
          <w:sz w:val="24"/>
          <w:szCs w:val="24"/>
        </w:rPr>
        <w:t>日。</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2.报名方式：供应商将《重庆千策招标代理有限公司采购文件发售登记表》（加盖供应商公章）扫描后发送至3097860773@qq.com （邮箱）。</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3.竞争性磋商文件售价：人民币300元/份，磋商文件购买费由各供应商在磋商当日递交响应文件时一并缴纳。</w:t>
      </w:r>
    </w:p>
    <w:p>
      <w:pPr>
        <w:spacing w:line="4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（五）递交响应文件地点</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重庆市第十一人民医院（重庆市优抚医院）</w:t>
      </w:r>
      <w:r>
        <w:rPr>
          <w:rFonts w:hint="eastAsia" w:ascii="宋体" w:hAnsi="宋体" w:cs="宋体"/>
          <w:sz w:val="24"/>
          <w:szCs w:val="24"/>
          <w:highlight w:val="none"/>
          <w:lang w:val="en-US" w:eastAsia="zh-CN"/>
        </w:rPr>
        <w:t>12楼</w:t>
      </w:r>
      <w:r>
        <w:rPr>
          <w:rFonts w:hint="eastAsia" w:ascii="宋体" w:hAnsi="宋体" w:eastAsia="宋体" w:cs="宋体"/>
          <w:sz w:val="24"/>
          <w:szCs w:val="24"/>
          <w:highlight w:val="none"/>
        </w:rPr>
        <w:t>会议室（重庆市沙坪坝区梨高路1号B区）</w:t>
      </w:r>
    </w:p>
    <w:p>
      <w:pPr>
        <w:spacing w:line="400" w:lineRule="exact"/>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（六）响应文件递交开始时间：202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8</w:t>
      </w:r>
      <w:r>
        <w:rPr>
          <w:rFonts w:hint="eastAsia" w:ascii="宋体" w:hAnsi="宋体" w:eastAsia="宋体" w:cs="宋体"/>
          <w:sz w:val="24"/>
          <w:szCs w:val="24"/>
        </w:rPr>
        <w:t>日北京时间</w:t>
      </w:r>
      <w:r>
        <w:rPr>
          <w:rFonts w:hint="eastAsia" w:ascii="宋体" w:hAnsi="宋体" w:cs="宋体"/>
          <w:sz w:val="24"/>
          <w:szCs w:val="24"/>
          <w:lang w:val="en-US" w:eastAsia="zh-CN"/>
        </w:rPr>
        <w:t>09</w:t>
      </w:r>
      <w:r>
        <w:rPr>
          <w:rFonts w:hint="eastAsia" w:ascii="宋体" w:hAnsi="宋体" w:eastAsia="宋体" w:cs="宋体"/>
          <w:sz w:val="24"/>
          <w:szCs w:val="24"/>
        </w:rPr>
        <w:t>:</w:t>
      </w:r>
      <w:r>
        <w:rPr>
          <w:rFonts w:hint="eastAsia" w:ascii="宋体" w:hAnsi="宋体" w:cs="宋体"/>
          <w:sz w:val="24"/>
          <w:szCs w:val="24"/>
          <w:lang w:val="en-US" w:eastAsia="zh-CN"/>
        </w:rPr>
        <w:t>30</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（七）响应文件递交截止时间：202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8</w:t>
      </w:r>
      <w:r>
        <w:rPr>
          <w:rFonts w:hint="eastAsia" w:ascii="宋体" w:hAnsi="宋体" w:eastAsia="宋体" w:cs="宋体"/>
          <w:sz w:val="24"/>
          <w:szCs w:val="24"/>
        </w:rPr>
        <w:t>日北京时间1</w:t>
      </w:r>
      <w:r>
        <w:rPr>
          <w:rFonts w:hint="eastAsia" w:ascii="宋体" w:hAnsi="宋体" w:cs="宋体"/>
          <w:sz w:val="24"/>
          <w:szCs w:val="24"/>
          <w:lang w:val="en-US" w:eastAsia="zh-CN"/>
        </w:rPr>
        <w:t>0</w:t>
      </w:r>
      <w:r>
        <w:rPr>
          <w:rFonts w:hint="eastAsia" w:ascii="宋体" w:hAnsi="宋体" w:eastAsia="宋体" w:cs="宋体"/>
          <w:sz w:val="24"/>
          <w:szCs w:val="24"/>
        </w:rPr>
        <w:t>:</w:t>
      </w:r>
      <w:r>
        <w:rPr>
          <w:rFonts w:hint="eastAsia" w:ascii="宋体" w:hAnsi="宋体" w:cs="宋体"/>
          <w:sz w:val="24"/>
          <w:szCs w:val="24"/>
          <w:lang w:val="en-US" w:eastAsia="zh-CN"/>
        </w:rPr>
        <w:t>0</w:t>
      </w:r>
      <w:r>
        <w:rPr>
          <w:rFonts w:hint="eastAsia" w:ascii="宋体" w:hAnsi="宋体" w:eastAsia="宋体" w:cs="宋体"/>
          <w:sz w:val="24"/>
          <w:szCs w:val="24"/>
        </w:rPr>
        <w:t>0</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（八）磋商开始时间：202</w:t>
      </w:r>
      <w:r>
        <w:rPr>
          <w:rFonts w:hint="eastAsia" w:ascii="宋体" w:hAnsi="宋体" w:cs="宋体"/>
          <w:sz w:val="24"/>
          <w:szCs w:val="24"/>
          <w:lang w:val="en-US" w:eastAsia="zh-CN"/>
        </w:rPr>
        <w:t>4</w:t>
      </w:r>
      <w:r>
        <w:rPr>
          <w:rFonts w:hint="eastAsia" w:ascii="宋体" w:hAnsi="宋体" w:eastAsia="宋体" w:cs="宋体"/>
          <w:sz w:val="24"/>
          <w:szCs w:val="24"/>
        </w:rPr>
        <w:t>年</w:t>
      </w:r>
      <w:r>
        <w:rPr>
          <w:rFonts w:hint="eastAsia" w:ascii="宋体" w:hAnsi="宋体" w:cs="宋体"/>
          <w:sz w:val="24"/>
          <w:szCs w:val="24"/>
          <w:lang w:val="en-US" w:eastAsia="zh-CN"/>
        </w:rPr>
        <w:t>4</w:t>
      </w:r>
      <w:r>
        <w:rPr>
          <w:rFonts w:hint="eastAsia" w:ascii="宋体" w:hAnsi="宋体" w:eastAsia="宋体" w:cs="宋体"/>
          <w:sz w:val="24"/>
          <w:szCs w:val="24"/>
        </w:rPr>
        <w:t>月</w:t>
      </w:r>
      <w:r>
        <w:rPr>
          <w:rFonts w:hint="eastAsia" w:ascii="宋体" w:hAnsi="宋体" w:cs="宋体"/>
          <w:sz w:val="24"/>
          <w:szCs w:val="24"/>
          <w:lang w:val="en-US" w:eastAsia="zh-CN"/>
        </w:rPr>
        <w:t>8</w:t>
      </w:r>
      <w:r>
        <w:rPr>
          <w:rFonts w:hint="eastAsia" w:ascii="宋体" w:hAnsi="宋体" w:eastAsia="宋体" w:cs="宋体"/>
          <w:sz w:val="24"/>
          <w:szCs w:val="24"/>
        </w:rPr>
        <w:t>日北京时间1</w:t>
      </w:r>
      <w:r>
        <w:rPr>
          <w:rFonts w:hint="eastAsia" w:ascii="宋体" w:hAnsi="宋体" w:cs="宋体"/>
          <w:sz w:val="24"/>
          <w:szCs w:val="24"/>
          <w:lang w:val="en-US" w:eastAsia="zh-CN"/>
        </w:rPr>
        <w:t>0</w:t>
      </w:r>
      <w:r>
        <w:rPr>
          <w:rFonts w:hint="eastAsia" w:ascii="宋体" w:hAnsi="宋体" w:eastAsia="宋体" w:cs="宋体"/>
          <w:sz w:val="24"/>
          <w:szCs w:val="24"/>
        </w:rPr>
        <w:t>:</w:t>
      </w:r>
      <w:r>
        <w:rPr>
          <w:rFonts w:hint="eastAsia" w:ascii="宋体" w:hAnsi="宋体" w:cs="宋体"/>
          <w:sz w:val="24"/>
          <w:szCs w:val="24"/>
          <w:lang w:val="en-US" w:eastAsia="zh-CN"/>
        </w:rPr>
        <w:t>0</w:t>
      </w:r>
      <w:r>
        <w:rPr>
          <w:rFonts w:hint="eastAsia" w:ascii="宋体" w:hAnsi="宋体" w:eastAsia="宋体" w:cs="宋体"/>
          <w:sz w:val="24"/>
          <w:szCs w:val="24"/>
        </w:rPr>
        <w:t>0</w:t>
      </w:r>
    </w:p>
    <w:bookmarkEnd w:id="34"/>
    <w:p>
      <w:pPr>
        <w:pStyle w:val="2"/>
        <w:numPr>
          <w:ilvl w:val="1"/>
          <w:numId w:val="0"/>
        </w:numPr>
        <w:adjustRightInd w:val="0"/>
        <w:snapToGrid w:val="0"/>
        <w:spacing w:line="400" w:lineRule="exact"/>
        <w:rPr>
          <w:rFonts w:hint="eastAsia" w:ascii="宋体" w:hAnsi="宋体" w:eastAsia="宋体" w:cs="宋体"/>
          <w:b/>
          <w:bCs w:val="0"/>
          <w:sz w:val="24"/>
        </w:rPr>
      </w:pPr>
      <w:bookmarkStart w:id="43" w:name="_Toc25280"/>
      <w:bookmarkStart w:id="44" w:name="_Toc8626"/>
      <w:bookmarkStart w:id="45" w:name="_Toc17643"/>
      <w:bookmarkStart w:id="46" w:name="_Toc3043"/>
      <w:bookmarkStart w:id="47" w:name="_Toc373860294"/>
      <w:bookmarkStart w:id="48" w:name="_Toc6621"/>
      <w:bookmarkStart w:id="49" w:name="_Toc24994"/>
      <w:bookmarkStart w:id="50" w:name="_Toc480466699"/>
      <w:bookmarkStart w:id="51" w:name="_Toc76462322"/>
      <w:bookmarkStart w:id="52" w:name="_Toc106030876"/>
      <w:r>
        <w:rPr>
          <w:rFonts w:hint="eastAsia" w:ascii="宋体" w:hAnsi="宋体" w:eastAsia="宋体" w:cs="宋体"/>
          <w:b/>
          <w:bCs w:val="0"/>
          <w:sz w:val="24"/>
        </w:rPr>
        <w:t>五、保证金</w:t>
      </w:r>
      <w:bookmarkEnd w:id="43"/>
      <w:bookmarkEnd w:id="44"/>
      <w:bookmarkEnd w:id="45"/>
      <w:bookmarkEnd w:id="46"/>
      <w:bookmarkEnd w:id="47"/>
      <w:bookmarkEnd w:id="48"/>
    </w:p>
    <w:p>
      <w:pPr>
        <w:spacing w:line="400" w:lineRule="exact"/>
        <w:ind w:firstLine="480" w:firstLineChars="200"/>
        <w:rPr>
          <w:rFonts w:hint="eastAsia" w:ascii="宋体" w:hAnsi="宋体" w:eastAsia="宋体" w:cs="宋体"/>
          <w:sz w:val="24"/>
          <w:szCs w:val="24"/>
        </w:rPr>
      </w:pPr>
      <w:bookmarkStart w:id="53" w:name="_Toc479668114"/>
      <w:bookmarkStart w:id="54" w:name="_Toc480466698"/>
      <w:r>
        <w:rPr>
          <w:rFonts w:hint="eastAsia" w:ascii="宋体" w:hAnsi="宋体" w:eastAsia="宋体" w:cs="宋体"/>
          <w:sz w:val="24"/>
          <w:szCs w:val="24"/>
        </w:rPr>
        <w:t>（一）保证金递交</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1.供应商应足额缴纳保证金（保证金金额详见本篇，</w:t>
      </w:r>
      <w:bookmarkStart w:id="343" w:name="_GoBack"/>
      <w:bookmarkEnd w:id="343"/>
      <w:r>
        <w:rPr>
          <w:rFonts w:hint="eastAsia" w:ascii="宋体" w:hAnsi="宋体" w:eastAsia="宋体" w:cs="宋体"/>
          <w:sz w:val="24"/>
          <w:szCs w:val="24"/>
        </w:rPr>
        <w:t>一、竞争性磋商内容），并汇至以下账户，保证金的到账截止时间同响应文件递交截止时间。</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保证金账户：</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户  名：重庆千策招标代理有限公司</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开户行：中国建设银行重庆杨家坪支行</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账  号：50050103360000000623</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2.各供应商在银行转账（电汇）时，须充分考虑银行转账（电汇）的时间差风险，如同城转账、异地转账或汇款、跨行转账或电汇的时间要求。</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（二）保证金退还方式</w:t>
      </w:r>
    </w:p>
    <w:bookmarkEnd w:id="53"/>
    <w:bookmarkEnd w:id="54"/>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1.未成交供应商的保证金，在成交通知书发放后，采购代理机构在五个工作日内按供应商来款账户信息退还。</w:t>
      </w:r>
    </w:p>
    <w:p>
      <w:pPr>
        <w:spacing w:line="400" w:lineRule="exact"/>
        <w:ind w:firstLine="480" w:firstLineChars="200"/>
        <w:rPr>
          <w:rFonts w:hint="eastAsia" w:ascii="宋体" w:hAnsi="宋体" w:eastAsia="宋体" w:cs="宋体"/>
        </w:rPr>
      </w:pPr>
      <w:bookmarkStart w:id="55" w:name="_Toc11537"/>
      <w:bookmarkStart w:id="56" w:name="_Toc22148"/>
      <w:r>
        <w:rPr>
          <w:rFonts w:hint="eastAsia" w:ascii="宋体" w:hAnsi="宋体" w:eastAsia="宋体" w:cs="宋体"/>
          <w:sz w:val="24"/>
          <w:szCs w:val="24"/>
        </w:rPr>
        <w:t>2.成交供应商的保证金，在成交供应商与采购人签订合同后，采购代理机构在五</w:t>
      </w:r>
      <w:bookmarkEnd w:id="55"/>
      <w:bookmarkEnd w:id="56"/>
    </w:p>
    <w:p>
      <w:pPr>
        <w:spacing w:line="400" w:lineRule="exact"/>
        <w:rPr>
          <w:rFonts w:hint="eastAsia" w:ascii="宋体" w:hAnsi="宋体" w:eastAsia="宋体" w:cs="宋体"/>
          <w:sz w:val="24"/>
          <w:szCs w:val="24"/>
        </w:rPr>
      </w:pPr>
      <w:bookmarkStart w:id="57" w:name="_Toc13402"/>
      <w:bookmarkStart w:id="58" w:name="_Toc8838"/>
      <w:r>
        <w:rPr>
          <w:rFonts w:hint="eastAsia" w:ascii="宋体" w:hAnsi="宋体" w:eastAsia="宋体" w:cs="宋体"/>
          <w:sz w:val="24"/>
          <w:szCs w:val="24"/>
        </w:rPr>
        <w:t>个工作日内按供应商来款账户信息退还。</w:t>
      </w:r>
      <w:bookmarkEnd w:id="57"/>
      <w:bookmarkEnd w:id="58"/>
    </w:p>
    <w:p>
      <w:pPr>
        <w:pStyle w:val="2"/>
        <w:numPr>
          <w:ilvl w:val="1"/>
          <w:numId w:val="0"/>
        </w:numPr>
        <w:adjustRightInd w:val="0"/>
        <w:snapToGrid w:val="0"/>
        <w:spacing w:line="400" w:lineRule="exact"/>
        <w:rPr>
          <w:rFonts w:hint="eastAsia" w:ascii="宋体" w:hAnsi="宋体" w:eastAsia="宋体" w:cs="宋体"/>
          <w:b/>
          <w:bCs w:val="0"/>
          <w:sz w:val="24"/>
        </w:rPr>
      </w:pPr>
      <w:bookmarkStart w:id="59" w:name="_Toc2659"/>
      <w:bookmarkStart w:id="60" w:name="_Toc32543"/>
      <w:bookmarkStart w:id="61" w:name="_Toc801"/>
      <w:bookmarkStart w:id="62" w:name="_Toc25947"/>
      <w:r>
        <w:rPr>
          <w:rFonts w:hint="eastAsia" w:ascii="宋体" w:hAnsi="宋体" w:eastAsia="宋体" w:cs="宋体"/>
          <w:b/>
          <w:bCs w:val="0"/>
          <w:sz w:val="24"/>
        </w:rPr>
        <w:t>六、其它有关规定</w:t>
      </w:r>
      <w:bookmarkEnd w:id="49"/>
      <w:bookmarkEnd w:id="50"/>
      <w:bookmarkEnd w:id="51"/>
      <w:bookmarkEnd w:id="52"/>
      <w:bookmarkEnd w:id="59"/>
      <w:bookmarkEnd w:id="60"/>
      <w:bookmarkEnd w:id="61"/>
      <w:bookmarkEnd w:id="62"/>
    </w:p>
    <w:p>
      <w:pPr>
        <w:snapToGrid w:val="0"/>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（一）单位负责人为同一人或者存在直接控股、管理关系的不同供应商，不得参加同一合同项（包）下的采购活动，否则均为无效响应。</w:t>
      </w:r>
    </w:p>
    <w:p>
      <w:pPr>
        <w:snapToGrid w:val="0"/>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（二）为采购项目提供整体设计、规范编制或者项目管理、监理、检测等服务的供应商，不得再参加该采购项目的其他采购活动。</w:t>
      </w:r>
    </w:p>
    <w:p>
      <w:pPr>
        <w:snapToGrid w:val="0"/>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（三）本项目的澄清文件（如果有）一律在“行采家”（ https://www.gec123.com/）上发布，请各供应注商意下载；无论供应商下载与否，均视同供应商已知晓本项目澄清文件（如果有）的内容。</w:t>
      </w:r>
    </w:p>
    <w:p>
      <w:pPr>
        <w:snapToGrid w:val="0"/>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（四）超过响应文件截止时间递交的响应文件，恕不接收。</w:t>
      </w:r>
    </w:p>
    <w:p>
      <w:pPr>
        <w:snapToGrid w:val="0"/>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（五）磋商费用：无论磋商结果如何，供应商参与本项目磋商的所有费用均应由供应商自行承担。</w:t>
      </w:r>
    </w:p>
    <w:p>
      <w:pPr>
        <w:snapToGrid w:val="0"/>
        <w:spacing w:line="400" w:lineRule="exact"/>
        <w:ind w:firstLine="361" w:firstLineChars="150"/>
        <w:rPr>
          <w:rFonts w:hint="eastAsia" w:ascii="宋体" w:hAnsi="宋体" w:eastAsia="宋体" w:cs="宋体"/>
          <w:b/>
          <w:bCs/>
          <w:sz w:val="24"/>
          <w:szCs w:val="24"/>
        </w:rPr>
      </w:pPr>
      <w:r>
        <w:rPr>
          <w:rFonts w:hint="eastAsia" w:ascii="宋体" w:hAnsi="宋体" w:eastAsia="宋体" w:cs="宋体"/>
          <w:b/>
          <w:bCs/>
          <w:sz w:val="24"/>
          <w:szCs w:val="24"/>
        </w:rPr>
        <w:t>（六）本项目不接受联合体参与磋商，否则按无效处理。</w:t>
      </w:r>
    </w:p>
    <w:p>
      <w:pPr>
        <w:snapToGrid w:val="0"/>
        <w:spacing w:line="400" w:lineRule="exact"/>
        <w:ind w:firstLine="361" w:firstLineChars="150"/>
        <w:rPr>
          <w:rFonts w:hint="eastAsia" w:ascii="宋体" w:hAnsi="宋体" w:eastAsia="宋体" w:cs="宋体"/>
          <w:b/>
          <w:bCs/>
          <w:sz w:val="24"/>
          <w:szCs w:val="24"/>
        </w:rPr>
      </w:pPr>
      <w:r>
        <w:rPr>
          <w:rFonts w:hint="eastAsia" w:ascii="宋体" w:hAnsi="宋体" w:eastAsia="宋体" w:cs="宋体"/>
          <w:b/>
          <w:bCs/>
          <w:sz w:val="24"/>
          <w:szCs w:val="24"/>
        </w:rPr>
        <w:t>（七）本项目不接受合同分包，否则按无效处理。</w:t>
      </w:r>
    </w:p>
    <w:p>
      <w:pPr>
        <w:snapToGrid w:val="0"/>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（八）</w:t>
      </w:r>
      <w:bookmarkStart w:id="63" w:name="_Toc480466700"/>
      <w:r>
        <w:rPr>
          <w:rFonts w:hint="eastAsia" w:ascii="宋体" w:hAnsi="宋体" w:eastAsia="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pStyle w:val="2"/>
        <w:numPr>
          <w:ilvl w:val="1"/>
          <w:numId w:val="0"/>
        </w:numPr>
        <w:adjustRightInd w:val="0"/>
        <w:snapToGrid w:val="0"/>
        <w:spacing w:line="400" w:lineRule="exact"/>
        <w:rPr>
          <w:rFonts w:hint="eastAsia" w:ascii="宋体" w:hAnsi="宋体" w:eastAsia="宋体" w:cs="宋体"/>
          <w:b/>
          <w:bCs w:val="0"/>
          <w:sz w:val="24"/>
        </w:rPr>
      </w:pPr>
      <w:bookmarkStart w:id="64" w:name="_Toc25021"/>
      <w:bookmarkStart w:id="65" w:name="_Toc106030877"/>
      <w:bookmarkStart w:id="66" w:name="_Toc30813"/>
      <w:bookmarkStart w:id="67" w:name="_Toc19865"/>
      <w:bookmarkStart w:id="68" w:name="_Toc76462323"/>
      <w:bookmarkStart w:id="69" w:name="_Toc26964"/>
      <w:bookmarkStart w:id="70" w:name="_Toc10403"/>
      <w:r>
        <w:rPr>
          <w:rFonts w:hint="eastAsia" w:ascii="宋体" w:hAnsi="宋体" w:eastAsia="宋体" w:cs="宋体"/>
          <w:b/>
          <w:bCs w:val="0"/>
          <w:sz w:val="24"/>
        </w:rPr>
        <w:t>七、联系方式</w:t>
      </w:r>
      <w:bookmarkEnd w:id="63"/>
      <w:bookmarkEnd w:id="64"/>
      <w:bookmarkEnd w:id="65"/>
      <w:bookmarkEnd w:id="66"/>
      <w:bookmarkEnd w:id="67"/>
      <w:bookmarkEnd w:id="68"/>
      <w:bookmarkEnd w:id="69"/>
      <w:bookmarkEnd w:id="70"/>
    </w:p>
    <w:p>
      <w:pPr>
        <w:snapToGrid w:val="0"/>
        <w:spacing w:line="400" w:lineRule="exact"/>
        <w:ind w:firstLine="480" w:firstLineChars="200"/>
        <w:rPr>
          <w:rFonts w:hint="eastAsia" w:ascii="宋体" w:hAnsi="宋体" w:eastAsia="宋体" w:cs="宋体"/>
          <w:sz w:val="24"/>
          <w:szCs w:val="24"/>
          <w:lang w:eastAsia="zh-CN"/>
        </w:rPr>
      </w:pPr>
      <w:bookmarkStart w:id="71" w:name="_Toc13219"/>
      <w:r>
        <w:rPr>
          <w:rFonts w:hint="eastAsia" w:ascii="宋体" w:hAnsi="宋体" w:eastAsia="宋体" w:cs="宋体"/>
          <w:sz w:val="24"/>
          <w:szCs w:val="24"/>
        </w:rPr>
        <w:t>（一）采购人：</w:t>
      </w:r>
      <w:bookmarkEnd w:id="71"/>
      <w:bookmarkStart w:id="72" w:name="_Toc9519"/>
      <w:r>
        <w:rPr>
          <w:rFonts w:hint="eastAsia" w:ascii="宋体" w:hAnsi="宋体" w:cs="宋体"/>
          <w:sz w:val="24"/>
          <w:szCs w:val="24"/>
          <w:lang w:eastAsia="zh-CN"/>
        </w:rPr>
        <w:t>重庆市第十一人民医院（重庆市优抚医院）</w:t>
      </w:r>
    </w:p>
    <w:p>
      <w:pPr>
        <w:snapToGrid w:val="0"/>
        <w:spacing w:line="40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联系人：</w:t>
      </w:r>
      <w:bookmarkEnd w:id="72"/>
      <w:r>
        <w:rPr>
          <w:rFonts w:hint="eastAsia" w:ascii="宋体" w:hAnsi="宋体" w:cs="宋体"/>
          <w:color w:val="auto"/>
          <w:sz w:val="24"/>
          <w:szCs w:val="24"/>
          <w:lang w:eastAsia="zh-CN"/>
        </w:rPr>
        <w:t>汪老师</w:t>
      </w:r>
    </w:p>
    <w:p>
      <w:pPr>
        <w:snapToGrid w:val="0"/>
        <w:spacing w:line="400" w:lineRule="exact"/>
        <w:ind w:firstLine="480" w:firstLineChars="200"/>
        <w:rPr>
          <w:rFonts w:hint="default" w:ascii="宋体" w:hAnsi="宋体" w:eastAsia="宋体" w:cs="宋体"/>
          <w:color w:val="auto"/>
          <w:sz w:val="24"/>
          <w:szCs w:val="24"/>
          <w:lang w:val="en-US" w:eastAsia="zh-CN"/>
        </w:rPr>
      </w:pPr>
      <w:bookmarkStart w:id="73" w:name="_Toc18835"/>
      <w:r>
        <w:rPr>
          <w:rFonts w:hint="eastAsia" w:ascii="宋体" w:hAnsi="宋体" w:eastAsia="宋体" w:cs="宋体"/>
          <w:color w:val="auto"/>
          <w:sz w:val="24"/>
          <w:szCs w:val="24"/>
        </w:rPr>
        <w:t>电  话：</w:t>
      </w:r>
      <w:bookmarkEnd w:id="73"/>
      <w:r>
        <w:rPr>
          <w:rFonts w:hint="eastAsia" w:ascii="宋体" w:hAnsi="宋体" w:eastAsia="宋体" w:cs="宋体"/>
          <w:color w:val="auto"/>
          <w:sz w:val="24"/>
          <w:szCs w:val="24"/>
        </w:rPr>
        <w:t>023-</w:t>
      </w:r>
      <w:r>
        <w:rPr>
          <w:rFonts w:hint="eastAsia" w:ascii="宋体" w:hAnsi="宋体" w:cs="宋体"/>
          <w:color w:val="auto"/>
          <w:sz w:val="24"/>
          <w:szCs w:val="24"/>
          <w:lang w:val="en-US" w:eastAsia="zh-CN"/>
        </w:rPr>
        <w:t>65371479</w:t>
      </w:r>
    </w:p>
    <w:p>
      <w:pPr>
        <w:snapToGrid w:val="0"/>
        <w:spacing w:line="400" w:lineRule="exact"/>
        <w:ind w:firstLine="480" w:firstLineChars="200"/>
        <w:rPr>
          <w:rFonts w:hint="eastAsia" w:ascii="宋体" w:hAnsi="宋体" w:eastAsia="宋体" w:cs="宋体"/>
          <w:sz w:val="24"/>
          <w:szCs w:val="24"/>
        </w:rPr>
      </w:pPr>
      <w:bookmarkStart w:id="74" w:name="_Toc29180"/>
      <w:r>
        <w:rPr>
          <w:rFonts w:hint="eastAsia" w:ascii="宋体" w:hAnsi="宋体" w:eastAsia="宋体" w:cs="宋体"/>
          <w:sz w:val="24"/>
          <w:szCs w:val="24"/>
        </w:rPr>
        <w:t>地  址：</w:t>
      </w:r>
      <w:bookmarkEnd w:id="74"/>
      <w:r>
        <w:rPr>
          <w:rFonts w:hint="eastAsia" w:ascii="宋体" w:hAnsi="宋体" w:eastAsia="宋体" w:cs="宋体"/>
          <w:sz w:val="24"/>
          <w:szCs w:val="24"/>
        </w:rPr>
        <w:t>重庆市沙坪坝区梨高路1号</w:t>
      </w:r>
    </w:p>
    <w:p>
      <w:pPr>
        <w:snapToGrid w:val="0"/>
        <w:spacing w:line="400" w:lineRule="exact"/>
        <w:ind w:firstLine="480" w:firstLineChars="200"/>
        <w:outlineLvl w:val="2"/>
        <w:rPr>
          <w:rFonts w:hint="eastAsia" w:ascii="宋体" w:hAnsi="宋体" w:eastAsia="宋体" w:cs="宋体"/>
          <w:sz w:val="24"/>
          <w:szCs w:val="24"/>
        </w:rPr>
      </w:pPr>
      <w:bookmarkStart w:id="75" w:name="_Toc30190"/>
      <w:r>
        <w:rPr>
          <w:rFonts w:hint="eastAsia" w:ascii="宋体" w:hAnsi="宋体" w:eastAsia="宋体" w:cs="宋体"/>
          <w:sz w:val="24"/>
          <w:szCs w:val="24"/>
        </w:rPr>
        <w:t>（二）采购代理机构：重庆千策招标代理有限公司</w:t>
      </w:r>
      <w:bookmarkEnd w:id="75"/>
    </w:p>
    <w:p>
      <w:pPr>
        <w:snapToGrid w:val="0"/>
        <w:spacing w:line="400" w:lineRule="exact"/>
        <w:ind w:firstLine="480" w:firstLineChars="200"/>
        <w:outlineLvl w:val="2"/>
        <w:rPr>
          <w:rFonts w:hint="eastAsia" w:ascii="宋体" w:hAnsi="宋体" w:eastAsia="宋体" w:cs="宋体"/>
          <w:sz w:val="24"/>
          <w:szCs w:val="24"/>
        </w:rPr>
      </w:pPr>
      <w:r>
        <w:rPr>
          <w:rFonts w:hint="eastAsia" w:ascii="宋体" w:hAnsi="宋体" w:eastAsia="宋体" w:cs="宋体"/>
          <w:sz w:val="24"/>
          <w:szCs w:val="24"/>
        </w:rPr>
        <w:t>联系人：康莉</w:t>
      </w:r>
    </w:p>
    <w:p>
      <w:pPr>
        <w:snapToGrid w:val="0"/>
        <w:spacing w:line="400" w:lineRule="exact"/>
        <w:ind w:firstLine="480" w:firstLineChars="200"/>
        <w:outlineLvl w:val="2"/>
        <w:rPr>
          <w:rFonts w:hint="eastAsia" w:ascii="宋体" w:hAnsi="宋体" w:eastAsia="宋体" w:cs="宋体"/>
          <w:sz w:val="24"/>
          <w:szCs w:val="24"/>
        </w:rPr>
      </w:pPr>
      <w:r>
        <w:rPr>
          <w:rFonts w:hint="eastAsia" w:ascii="宋体" w:hAnsi="宋体" w:eastAsia="宋体" w:cs="宋体"/>
          <w:sz w:val="24"/>
          <w:szCs w:val="24"/>
        </w:rPr>
        <w:t>电  话：023-63206045  17723952098（项目内容咨询）</w:t>
      </w:r>
    </w:p>
    <w:p>
      <w:pPr>
        <w:snapToGrid w:val="0"/>
        <w:spacing w:line="400" w:lineRule="exact"/>
        <w:ind w:firstLine="1440" w:firstLineChars="600"/>
        <w:outlineLvl w:val="2"/>
        <w:rPr>
          <w:rFonts w:hint="eastAsia" w:ascii="宋体" w:hAnsi="宋体" w:eastAsia="宋体" w:cs="宋体"/>
          <w:sz w:val="24"/>
          <w:szCs w:val="24"/>
        </w:rPr>
      </w:pPr>
      <w:r>
        <w:rPr>
          <w:rFonts w:hint="eastAsia" w:ascii="宋体" w:hAnsi="宋体" w:eastAsia="宋体" w:cs="宋体"/>
          <w:sz w:val="24"/>
          <w:szCs w:val="24"/>
        </w:rPr>
        <w:t>023-67461776（报名及保证金咨询）</w:t>
      </w:r>
    </w:p>
    <w:p>
      <w:pPr>
        <w:snapToGrid w:val="0"/>
        <w:spacing w:line="400" w:lineRule="exact"/>
        <w:ind w:firstLine="480" w:firstLineChars="200"/>
        <w:outlineLvl w:val="2"/>
        <w:rPr>
          <w:rFonts w:hint="eastAsia" w:ascii="宋体" w:hAnsi="宋体" w:eastAsia="宋体" w:cs="宋体"/>
          <w:sz w:val="24"/>
          <w:szCs w:val="24"/>
        </w:rPr>
      </w:pPr>
      <w:r>
        <w:rPr>
          <w:rFonts w:hint="eastAsia" w:ascii="宋体" w:hAnsi="宋体" w:eastAsia="宋体" w:cs="宋体"/>
          <w:sz w:val="24"/>
          <w:szCs w:val="24"/>
        </w:rPr>
        <w:t>地  址：重庆市渝北区星光大道82号天王星D1-2栋7楼</w:t>
      </w:r>
    </w:p>
    <w:p>
      <w:pPr>
        <w:snapToGrid w:val="0"/>
        <w:spacing w:line="400" w:lineRule="exact"/>
        <w:ind w:firstLine="482" w:firstLineChars="200"/>
        <w:rPr>
          <w:rFonts w:hint="eastAsia" w:ascii="宋体" w:hAnsi="宋体" w:eastAsia="宋体" w:cs="宋体"/>
          <w:b/>
          <w:sz w:val="24"/>
          <w:szCs w:val="24"/>
        </w:rPr>
        <w:sectPr>
          <w:pgSz w:w="11907" w:h="16840"/>
          <w:pgMar w:top="1134" w:right="1418" w:bottom="1134" w:left="1418" w:header="964" w:footer="992" w:gutter="0"/>
          <w:pgNumType w:fmt="numberInDash"/>
          <w:cols w:space="720" w:num="1"/>
          <w:docGrid w:linePitch="312" w:charSpace="0"/>
        </w:sectPr>
      </w:pPr>
    </w:p>
    <w:p>
      <w:pPr>
        <w:pStyle w:val="2"/>
        <w:numPr>
          <w:ilvl w:val="1"/>
          <w:numId w:val="0"/>
        </w:numPr>
        <w:spacing w:line="360" w:lineRule="auto"/>
        <w:jc w:val="center"/>
        <w:rPr>
          <w:rFonts w:hint="eastAsia" w:ascii="宋体" w:hAnsi="宋体" w:eastAsia="宋体" w:cs="宋体"/>
          <w:sz w:val="24"/>
          <w:szCs w:val="24"/>
        </w:rPr>
      </w:pPr>
      <w:bookmarkStart w:id="76" w:name="_Toc14386"/>
      <w:bookmarkStart w:id="77" w:name="_Toc20799"/>
      <w:bookmarkStart w:id="78" w:name="_Toc30919"/>
      <w:bookmarkStart w:id="79" w:name="_Toc26073"/>
      <w:bookmarkStart w:id="80" w:name="_Toc76462324"/>
      <w:bookmarkStart w:id="81" w:name="_Toc16827"/>
      <w:bookmarkStart w:id="82" w:name="_Toc106030878"/>
      <w:r>
        <w:rPr>
          <w:rFonts w:hint="eastAsia" w:ascii="宋体" w:hAnsi="宋体" w:eastAsia="宋体" w:cs="宋体"/>
          <w:sz w:val="36"/>
          <w:szCs w:val="30"/>
        </w:rPr>
        <w:t>第二篇  项目服务需求</w:t>
      </w:r>
      <w:bookmarkEnd w:id="76"/>
      <w:bookmarkEnd w:id="77"/>
      <w:bookmarkEnd w:id="78"/>
      <w:bookmarkEnd w:id="79"/>
      <w:bookmarkEnd w:id="80"/>
      <w:bookmarkEnd w:id="81"/>
      <w:bookmarkEnd w:id="82"/>
      <w:bookmarkStart w:id="83" w:name="_Toc76462325"/>
      <w:bookmarkStart w:id="84" w:name="_Toc12789058"/>
    </w:p>
    <w:p>
      <w:pPr>
        <w:spacing w:line="400" w:lineRule="exact"/>
        <w:rPr>
          <w:rFonts w:hint="eastAsia" w:ascii="宋体" w:hAnsi="宋体" w:eastAsia="宋体" w:cs="宋体"/>
          <w:sz w:val="24"/>
          <w:szCs w:val="24"/>
        </w:rPr>
      </w:pPr>
      <w:bookmarkStart w:id="85" w:name="_Toc106030879"/>
      <w:bookmarkStart w:id="86" w:name="_Toc4063"/>
      <w:r>
        <w:rPr>
          <w:rFonts w:hint="eastAsia" w:ascii="宋体" w:hAnsi="宋体" w:eastAsia="宋体" w:cs="宋体"/>
          <w:sz w:val="24"/>
          <w:szCs w:val="24"/>
        </w:rPr>
        <w:t>“※”标注的服务需求为符合性审查中的实质性要求，响应文件若不满足按无效响应处理。</w:t>
      </w:r>
    </w:p>
    <w:p>
      <w:pPr>
        <w:pStyle w:val="2"/>
        <w:numPr>
          <w:ilvl w:val="1"/>
          <w:numId w:val="0"/>
        </w:numPr>
        <w:adjustRightInd w:val="0"/>
        <w:snapToGrid w:val="0"/>
        <w:spacing w:line="400" w:lineRule="exact"/>
        <w:rPr>
          <w:rFonts w:hint="eastAsia" w:ascii="宋体" w:hAnsi="宋体" w:eastAsia="宋体" w:cs="宋体"/>
          <w:b/>
          <w:bCs w:val="0"/>
          <w:sz w:val="24"/>
        </w:rPr>
      </w:pPr>
      <w:bookmarkStart w:id="87" w:name="_Toc29093"/>
      <w:bookmarkStart w:id="88" w:name="_Toc11510"/>
      <w:bookmarkStart w:id="89" w:name="_Toc31882"/>
      <w:bookmarkStart w:id="90" w:name="_Toc28676"/>
      <w:r>
        <w:rPr>
          <w:rFonts w:hint="eastAsia" w:ascii="宋体" w:hAnsi="宋体" w:eastAsia="宋体" w:cs="宋体"/>
          <w:b/>
          <w:bCs w:val="0"/>
          <w:sz w:val="24"/>
        </w:rPr>
        <w:t>一、项目一览表</w:t>
      </w:r>
      <w:bookmarkEnd w:id="83"/>
      <w:bookmarkEnd w:id="85"/>
      <w:bookmarkEnd w:id="86"/>
      <w:bookmarkEnd w:id="87"/>
      <w:bookmarkEnd w:id="88"/>
      <w:bookmarkEnd w:id="89"/>
      <w:bookmarkEnd w:id="90"/>
    </w:p>
    <w:tbl>
      <w:tblPr>
        <w:tblStyle w:val="28"/>
        <w:tblW w:w="9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9"/>
        <w:gridCol w:w="1606"/>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509"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磋商项目名称</w:t>
            </w:r>
          </w:p>
        </w:tc>
        <w:tc>
          <w:tcPr>
            <w:tcW w:w="1606" w:type="dxa"/>
            <w:vAlign w:val="center"/>
          </w:tcPr>
          <w:p>
            <w:pPr>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数量/单位</w:t>
            </w:r>
          </w:p>
        </w:tc>
        <w:tc>
          <w:tcPr>
            <w:tcW w:w="2377" w:type="dxa"/>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509" w:type="dxa"/>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建院70周年文创纪念品设计制作项目</w:t>
            </w:r>
          </w:p>
        </w:tc>
        <w:tc>
          <w:tcPr>
            <w:tcW w:w="1606"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1000/套</w:t>
            </w:r>
          </w:p>
        </w:tc>
        <w:tc>
          <w:tcPr>
            <w:tcW w:w="2377" w:type="dxa"/>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具体内容详见下文</w:t>
            </w:r>
          </w:p>
        </w:tc>
      </w:tr>
      <w:bookmarkEnd w:id="84"/>
    </w:tbl>
    <w:p>
      <w:pPr>
        <w:pStyle w:val="2"/>
        <w:numPr>
          <w:ilvl w:val="1"/>
          <w:numId w:val="0"/>
        </w:numPr>
        <w:spacing w:line="400" w:lineRule="exact"/>
        <w:rPr>
          <w:rFonts w:hint="eastAsia" w:ascii="宋体" w:hAnsi="宋体" w:eastAsia="宋体" w:cs="宋体"/>
          <w:b/>
          <w:sz w:val="24"/>
        </w:rPr>
      </w:pPr>
      <w:bookmarkStart w:id="91" w:name="_Toc9429"/>
      <w:r>
        <w:rPr>
          <w:rFonts w:hint="eastAsia" w:ascii="宋体" w:hAnsi="宋体" w:eastAsia="宋体" w:cs="宋体"/>
          <w:b/>
          <w:sz w:val="24"/>
        </w:rPr>
        <w:t>※</w:t>
      </w:r>
      <w:r>
        <w:rPr>
          <w:rFonts w:hint="eastAsia" w:ascii="宋体" w:hAnsi="宋体" w:eastAsia="宋体" w:cs="宋体"/>
          <w:b/>
          <w:sz w:val="24"/>
          <w:lang w:val="en-US" w:eastAsia="zh-CN"/>
        </w:rPr>
        <w:t>二</w:t>
      </w:r>
      <w:r>
        <w:rPr>
          <w:rFonts w:hint="eastAsia" w:ascii="宋体" w:hAnsi="宋体" w:eastAsia="宋体" w:cs="宋体"/>
          <w:b/>
          <w:sz w:val="24"/>
        </w:rPr>
        <w:t>、服务内容及质量要求</w:t>
      </w:r>
      <w:bookmarkEnd w:id="91"/>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1514"/>
        <w:gridCol w:w="5291"/>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序号</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名称</w:t>
            </w:r>
          </w:p>
        </w:tc>
        <w:tc>
          <w:tcPr>
            <w:tcW w:w="5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技术要求</w:t>
            </w:r>
          </w:p>
        </w:tc>
        <w:tc>
          <w:tcPr>
            <w:tcW w:w="20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定制IP形象礼品盒</w:t>
            </w:r>
          </w:p>
        </w:tc>
        <w:tc>
          <w:tcPr>
            <w:tcW w:w="5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尺寸：</w:t>
            </w:r>
            <w:r>
              <w:rPr>
                <w:rFonts w:hint="eastAsia" w:ascii="宋体" w:hAnsi="宋体" w:cs="宋体"/>
                <w:b w:val="0"/>
                <w:bCs w:val="0"/>
                <w:color w:val="auto"/>
                <w:sz w:val="24"/>
                <w:szCs w:val="24"/>
                <w:lang w:val="en-US" w:eastAsia="zh-CN"/>
              </w:rPr>
              <w:t>30CM</w:t>
            </w:r>
            <w:r>
              <w:rPr>
                <w:rFonts w:hint="default" w:ascii="Arial" w:hAnsi="Arial" w:cs="Arial"/>
                <w:b w:val="0"/>
                <w:bCs w:val="0"/>
                <w:color w:val="auto"/>
                <w:sz w:val="24"/>
                <w:szCs w:val="24"/>
                <w:lang w:val="en-US" w:eastAsia="zh-CN"/>
              </w:rPr>
              <w:t>×</w:t>
            </w:r>
            <w:r>
              <w:rPr>
                <w:rFonts w:hint="eastAsia" w:ascii="宋体" w:hAnsi="宋体" w:cs="宋体"/>
                <w:b w:val="0"/>
                <w:bCs w:val="0"/>
                <w:color w:val="auto"/>
                <w:sz w:val="24"/>
                <w:szCs w:val="24"/>
                <w:lang w:val="en-US" w:eastAsia="zh-CN"/>
              </w:rPr>
              <w:t>25CM±5cm。</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装饰元素：</w:t>
            </w:r>
            <w:r>
              <w:rPr>
                <w:rFonts w:hint="eastAsia" w:ascii="宋体" w:hAnsi="宋体" w:eastAsia="宋体" w:cs="宋体"/>
                <w:color w:val="auto"/>
                <w:sz w:val="24"/>
                <w:szCs w:val="24"/>
                <w:lang w:val="en-US" w:eastAsia="zh-CN"/>
              </w:rPr>
              <w:t>运用医院标志、庆典类图案等，提升礼品盒的纪念意义和收藏价值。</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内衬与包装：</w:t>
            </w:r>
            <w:r>
              <w:rPr>
                <w:rFonts w:hint="eastAsia" w:ascii="宋体" w:hAnsi="宋体" w:eastAsia="宋体" w:cs="宋体"/>
                <w:color w:val="auto"/>
                <w:sz w:val="24"/>
                <w:szCs w:val="24"/>
                <w:lang w:val="en-US" w:eastAsia="zh-CN"/>
              </w:rPr>
              <w:t>内衬应柔软、保护性强；外包装材料应环保、美观。</w:t>
            </w:r>
          </w:p>
        </w:tc>
        <w:tc>
          <w:tcPr>
            <w:tcW w:w="20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礼品盒能容纳U盘</w:t>
            </w:r>
            <w:r>
              <w:rPr>
                <w:rFonts w:hint="eastAsia" w:ascii="宋体" w:hAnsi="宋体" w:cs="宋体"/>
                <w:color w:val="auto"/>
                <w:sz w:val="24"/>
                <w:szCs w:val="24"/>
                <w:lang w:val="en-US" w:eastAsia="zh-CN"/>
              </w:rPr>
              <w:t>及供应商自行搭配的其他定制文创产品。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定制IP形象U盘</w:t>
            </w:r>
          </w:p>
        </w:tc>
        <w:tc>
          <w:tcPr>
            <w:tcW w:w="529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外形设计：</w:t>
            </w:r>
            <w:r>
              <w:rPr>
                <w:rFonts w:hint="eastAsia" w:ascii="宋体" w:hAnsi="宋体" w:eastAsia="宋体" w:cs="宋体"/>
                <w:sz w:val="24"/>
                <w:szCs w:val="24"/>
                <w:lang w:val="en-US" w:eastAsia="zh-CN"/>
              </w:rPr>
              <w:t>应结合医院标志、建筑特色或医学符号等元素，创造出独特且易于识别的外形。</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容量与性能：</w:t>
            </w:r>
            <w:r>
              <w:rPr>
                <w:rFonts w:hint="eastAsia" w:ascii="宋体" w:hAnsi="宋体" w:eastAsia="宋体" w:cs="宋体"/>
                <w:sz w:val="24"/>
                <w:szCs w:val="24"/>
                <w:lang w:val="en-US" w:eastAsia="zh-CN"/>
              </w:rPr>
              <w:t>容量至少为128G；读写速度应快，保证使用效率。</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接口类型：</w:t>
            </w:r>
            <w:r>
              <w:rPr>
                <w:rFonts w:hint="eastAsia" w:ascii="宋体" w:hAnsi="宋体" w:eastAsia="宋体" w:cs="宋体"/>
                <w:sz w:val="24"/>
                <w:szCs w:val="24"/>
                <w:lang w:val="en-US" w:eastAsia="zh-CN"/>
              </w:rPr>
              <w:t>采用通用性强的接口类型，如USB 3.0或更高版本。</w:t>
            </w:r>
          </w:p>
        </w:tc>
        <w:tc>
          <w:tcPr>
            <w:tcW w:w="201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应选用市面主流品牌，</w:t>
            </w:r>
            <w:r>
              <w:rPr>
                <w:rFonts w:hint="eastAsia" w:ascii="宋体" w:hAnsi="宋体" w:cs="宋体"/>
                <w:sz w:val="24"/>
                <w:szCs w:val="24"/>
                <w:lang w:val="en-US" w:eastAsia="zh-CN"/>
              </w:rPr>
              <w:t>参考</w:t>
            </w:r>
            <w:r>
              <w:rPr>
                <w:rFonts w:hint="eastAsia" w:ascii="宋体" w:hAnsi="宋体" w:eastAsia="宋体" w:cs="宋体"/>
                <w:sz w:val="24"/>
                <w:szCs w:val="24"/>
                <w:lang w:val="en-US" w:eastAsia="zh-CN"/>
              </w:rPr>
              <w:t>金士顿、闪迪、联想等</w:t>
            </w:r>
            <w:r>
              <w:rPr>
                <w:rFonts w:hint="eastAsia" w:ascii="宋体" w:hAnsi="宋体"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4"/>
            <w:vAlign w:val="center"/>
          </w:tcPr>
          <w:p>
            <w:pPr>
              <w:spacing w:line="240" w:lineRule="auto"/>
              <w:jc w:val="left"/>
              <w:rPr>
                <w:rFonts w:hint="eastAsia" w:ascii="宋体" w:hAnsi="宋体" w:cs="宋体"/>
                <w:b/>
                <w:bCs/>
                <w:sz w:val="24"/>
                <w:szCs w:val="24"/>
                <w:lang w:val="en-US" w:eastAsia="zh-CN"/>
              </w:rPr>
            </w:pPr>
            <w:r>
              <w:rPr>
                <w:rFonts w:hint="eastAsia" w:ascii="宋体" w:hAnsi="宋体" w:cs="宋体"/>
                <w:b/>
                <w:bCs/>
                <w:sz w:val="24"/>
                <w:szCs w:val="24"/>
                <w:lang w:val="en-US" w:eastAsia="zh-CN"/>
              </w:rPr>
              <w:t>备注：</w:t>
            </w:r>
          </w:p>
          <w:p>
            <w:pPr>
              <w:spacing w:line="240" w:lineRule="auto"/>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供应商根据采购预算结合采购人单位性质以及文创纪念的实用性、文创性等自行搭配和设计文创纪念产品，文创纪念产品中必须包含“定制IP形象U盘”且每套文创纪念产品必须采用“定制IP形象礼品盒”进行独立包装。</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2.数量为1000套。“定制IP形象U盘（1个）”及供应商自行搭配的其他定制文创产品（1个/套/件/双等等）为1套。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宋体" w:hAnsi="宋体" w:eastAsia="宋体" w:cs="宋体"/>
                <w:sz w:val="24"/>
                <w:szCs w:val="24"/>
                <w:lang w:val="en-US" w:eastAsia="zh-CN"/>
              </w:rPr>
            </w:pPr>
            <w:r>
              <w:rPr>
                <w:rFonts w:hint="eastAsia" w:ascii="宋体" w:hAnsi="宋体" w:eastAsia="宋体" w:cs="宋体"/>
                <w:b/>
                <w:bCs/>
                <w:color w:val="auto"/>
                <w:sz w:val="24"/>
                <w:szCs w:val="24"/>
                <w:highlight w:val="none"/>
                <w:lang w:val="en-US" w:eastAsia="zh-CN"/>
              </w:rPr>
              <w:t>3.供应商需在响应文件分项报价表中列出“定制IP形象U盘”和自行搭配的文创产品的品牌、规格型号等。</w:t>
            </w:r>
          </w:p>
        </w:tc>
      </w:tr>
    </w:tbl>
    <w:p>
      <w:pPr>
        <w:rPr>
          <w:rFonts w:hint="eastAsia" w:ascii="宋体" w:hAnsi="宋体" w:eastAsia="宋体" w:cs="宋体"/>
        </w:rPr>
      </w:pPr>
    </w:p>
    <w:p>
      <w:pPr>
        <w:pStyle w:val="2"/>
        <w:numPr>
          <w:ilvl w:val="1"/>
          <w:numId w:val="0"/>
        </w:numPr>
        <w:spacing w:line="360" w:lineRule="auto"/>
        <w:jc w:val="center"/>
        <w:rPr>
          <w:rFonts w:hint="eastAsia" w:ascii="宋体" w:hAnsi="宋体" w:eastAsia="宋体" w:cs="宋体"/>
          <w:sz w:val="36"/>
          <w:szCs w:val="30"/>
        </w:rPr>
      </w:pPr>
      <w:bookmarkStart w:id="92" w:name="_Toc4922"/>
      <w:bookmarkStart w:id="93" w:name="_Toc4804"/>
      <w:bookmarkStart w:id="94" w:name="_Toc20395"/>
    </w:p>
    <w:p>
      <w:pPr>
        <w:rPr>
          <w:rFonts w:hint="eastAsia" w:ascii="宋体" w:hAnsi="宋体" w:eastAsia="宋体" w:cs="宋体"/>
          <w:sz w:val="36"/>
          <w:szCs w:val="30"/>
        </w:rPr>
      </w:pPr>
    </w:p>
    <w:p>
      <w:pPr>
        <w:pStyle w:val="35"/>
        <w:rPr>
          <w:rFonts w:hint="eastAsia" w:ascii="宋体" w:hAnsi="宋体" w:eastAsia="宋体" w:cs="宋体"/>
          <w:sz w:val="36"/>
          <w:szCs w:val="30"/>
        </w:rPr>
      </w:pPr>
    </w:p>
    <w:p>
      <w:pPr>
        <w:rPr>
          <w:rFonts w:hint="eastAsia" w:ascii="宋体" w:hAnsi="宋体" w:eastAsia="宋体" w:cs="宋体"/>
          <w:sz w:val="36"/>
          <w:szCs w:val="30"/>
        </w:rPr>
      </w:pPr>
    </w:p>
    <w:p>
      <w:pPr>
        <w:pStyle w:val="35"/>
        <w:rPr>
          <w:rFonts w:hint="eastAsia" w:ascii="宋体" w:hAnsi="宋体" w:eastAsia="宋体" w:cs="宋体"/>
          <w:sz w:val="36"/>
          <w:szCs w:val="30"/>
        </w:rPr>
      </w:pPr>
    </w:p>
    <w:p>
      <w:pPr>
        <w:rPr>
          <w:rFonts w:hint="eastAsia" w:ascii="宋体" w:hAnsi="宋体" w:eastAsia="宋体" w:cs="宋体"/>
          <w:sz w:val="36"/>
          <w:szCs w:val="30"/>
        </w:rPr>
      </w:pPr>
    </w:p>
    <w:p>
      <w:pPr>
        <w:pStyle w:val="35"/>
        <w:rPr>
          <w:rFonts w:hint="eastAsia" w:ascii="宋体" w:hAnsi="宋体" w:eastAsia="宋体" w:cs="宋体"/>
          <w:sz w:val="36"/>
          <w:szCs w:val="30"/>
        </w:rPr>
      </w:pPr>
    </w:p>
    <w:p>
      <w:pPr>
        <w:pStyle w:val="35"/>
        <w:jc w:val="both"/>
        <w:rPr>
          <w:rFonts w:hint="eastAsia" w:ascii="宋体" w:hAnsi="宋体" w:eastAsia="宋体" w:cs="宋体"/>
        </w:rPr>
      </w:pPr>
    </w:p>
    <w:p>
      <w:pPr>
        <w:pStyle w:val="2"/>
        <w:numPr>
          <w:ilvl w:val="1"/>
          <w:numId w:val="0"/>
        </w:numPr>
        <w:spacing w:line="360" w:lineRule="auto"/>
        <w:jc w:val="center"/>
        <w:rPr>
          <w:rFonts w:hint="eastAsia" w:ascii="宋体" w:hAnsi="宋体" w:eastAsia="宋体" w:cs="宋体"/>
          <w:sz w:val="36"/>
          <w:szCs w:val="30"/>
        </w:rPr>
      </w:pPr>
      <w:bookmarkStart w:id="95" w:name="_Toc2434"/>
      <w:r>
        <w:rPr>
          <w:rFonts w:hint="eastAsia" w:ascii="宋体" w:hAnsi="宋体" w:eastAsia="宋体" w:cs="宋体"/>
          <w:sz w:val="36"/>
          <w:szCs w:val="30"/>
        </w:rPr>
        <w:t>第三篇  项目商务需求</w:t>
      </w:r>
      <w:bookmarkEnd w:id="92"/>
      <w:bookmarkEnd w:id="93"/>
      <w:bookmarkEnd w:id="94"/>
      <w:bookmarkEnd w:id="95"/>
    </w:p>
    <w:p>
      <w:pPr>
        <w:pStyle w:val="18"/>
        <w:spacing w:line="400" w:lineRule="exact"/>
        <w:ind w:firstLine="0"/>
        <w:rPr>
          <w:rFonts w:hint="eastAsia" w:ascii="宋体" w:hAnsi="宋体" w:eastAsia="宋体" w:cs="宋体"/>
          <w:kern w:val="0"/>
          <w:sz w:val="24"/>
          <w:szCs w:val="24"/>
        </w:rPr>
      </w:pPr>
      <w:bookmarkStart w:id="96" w:name="_Toc76462328"/>
      <w:bookmarkStart w:id="97" w:name="_Toc344475120"/>
      <w:r>
        <w:rPr>
          <w:rFonts w:hint="eastAsia" w:ascii="宋体" w:hAnsi="宋体" w:eastAsia="宋体" w:cs="宋体"/>
          <w:sz w:val="24"/>
          <w:szCs w:val="24"/>
        </w:rPr>
        <w:t>“※”标注的商务需求为符合性审查中的实质性要求，响应文件若不满足按无效响应处理。</w:t>
      </w:r>
      <w:bookmarkEnd w:id="96"/>
      <w:bookmarkEnd w:id="97"/>
      <w:bookmarkStart w:id="98" w:name="_Toc3228"/>
      <w:bookmarkStart w:id="99" w:name="_Toc23093"/>
      <w:bookmarkStart w:id="100" w:name="_Toc267320049"/>
      <w:bookmarkStart w:id="101" w:name="_Toc76373877"/>
      <w:bookmarkStart w:id="102" w:name="_Toc10278"/>
      <w:bookmarkStart w:id="103" w:name="_Toc21950"/>
      <w:bookmarkStart w:id="104" w:name="_Toc28613"/>
      <w:bookmarkStart w:id="105" w:name="_Toc8671"/>
    </w:p>
    <w:p>
      <w:pPr>
        <w:pStyle w:val="2"/>
        <w:numPr>
          <w:ilvl w:val="1"/>
          <w:numId w:val="0"/>
        </w:numPr>
        <w:spacing w:line="400" w:lineRule="exact"/>
        <w:rPr>
          <w:rFonts w:hint="eastAsia" w:ascii="宋体" w:hAnsi="宋体" w:eastAsia="宋体" w:cs="宋体"/>
          <w:b/>
          <w:sz w:val="24"/>
        </w:rPr>
      </w:pPr>
      <w:bookmarkStart w:id="106" w:name="_Toc9232"/>
      <w:bookmarkStart w:id="107" w:name="_Toc2135"/>
      <w:bookmarkStart w:id="108" w:name="_Toc13005"/>
      <w:bookmarkStart w:id="109" w:name="_Toc19393"/>
      <w:r>
        <w:rPr>
          <w:rFonts w:hint="eastAsia" w:ascii="宋体" w:hAnsi="宋体" w:eastAsia="宋体" w:cs="宋体"/>
          <w:b/>
          <w:sz w:val="24"/>
          <w:szCs w:val="24"/>
        </w:rPr>
        <w:t>一、</w:t>
      </w:r>
      <w:bookmarkEnd w:id="98"/>
      <w:bookmarkEnd w:id="99"/>
      <w:bookmarkEnd w:id="100"/>
      <w:bookmarkEnd w:id="101"/>
      <w:bookmarkEnd w:id="102"/>
      <w:bookmarkEnd w:id="103"/>
      <w:bookmarkEnd w:id="104"/>
      <w:bookmarkEnd w:id="105"/>
      <w:r>
        <w:rPr>
          <w:rFonts w:hint="eastAsia" w:ascii="宋体" w:hAnsi="宋体" w:eastAsia="宋体" w:cs="宋体"/>
          <w:b/>
          <w:sz w:val="24"/>
          <w:szCs w:val="24"/>
          <w:lang w:val="en-US" w:eastAsia="zh-CN"/>
        </w:rPr>
        <w:t>实施时间</w:t>
      </w:r>
      <w:r>
        <w:rPr>
          <w:rFonts w:hint="eastAsia" w:ascii="宋体" w:hAnsi="宋体" w:eastAsia="宋体" w:cs="宋体"/>
          <w:b/>
          <w:sz w:val="24"/>
        </w:rPr>
        <w:t>、地点及</w:t>
      </w:r>
      <w:bookmarkEnd w:id="106"/>
      <w:bookmarkEnd w:id="107"/>
      <w:bookmarkEnd w:id="108"/>
      <w:r>
        <w:rPr>
          <w:rFonts w:hint="eastAsia" w:ascii="宋体" w:hAnsi="宋体" w:eastAsia="宋体" w:cs="宋体"/>
          <w:b/>
          <w:sz w:val="24"/>
          <w:lang w:val="en-US" w:eastAsia="zh-CN"/>
        </w:rPr>
        <w:t>验收</w:t>
      </w:r>
      <w:r>
        <w:rPr>
          <w:rFonts w:hint="eastAsia" w:ascii="宋体" w:hAnsi="宋体" w:eastAsia="宋体" w:cs="宋体"/>
          <w:b/>
          <w:sz w:val="24"/>
        </w:rPr>
        <w:t>方式</w:t>
      </w:r>
      <w:bookmarkEnd w:id="109"/>
    </w:p>
    <w:p>
      <w:pPr>
        <w:snapToGrid w:val="0"/>
        <w:spacing w:line="400" w:lineRule="exact"/>
        <w:ind w:firstLine="480" w:firstLineChars="200"/>
        <w:rPr>
          <w:rFonts w:hint="default" w:ascii="宋体" w:hAnsi="宋体" w:eastAsia="宋体" w:cs="宋体"/>
          <w:sz w:val="24"/>
          <w:szCs w:val="24"/>
          <w:lang w:val="en-US" w:eastAsia="zh-CN"/>
        </w:rPr>
      </w:pPr>
      <w:bookmarkStart w:id="110" w:name="_Toc31871"/>
      <w:bookmarkStart w:id="111" w:name="_Toc11367"/>
      <w:bookmarkStart w:id="112" w:name="_Toc10103"/>
      <w:bookmarkStart w:id="113" w:name="_Toc17044"/>
      <w:bookmarkStart w:id="114" w:name="_Toc76373878"/>
      <w:bookmarkStart w:id="115" w:name="_Toc25977"/>
      <w:bookmarkStart w:id="116" w:name="_Toc16277"/>
      <w:bookmarkStart w:id="117" w:name="_Toc267320050"/>
      <w:r>
        <w:rPr>
          <w:rFonts w:hint="eastAsia" w:ascii="宋体" w:hAnsi="宋体" w:cs="宋体"/>
          <w:color w:val="auto"/>
          <w:sz w:val="24"/>
          <w:szCs w:val="24"/>
          <w:lang w:eastAsia="zh-CN"/>
        </w:rPr>
        <w:t>※</w:t>
      </w:r>
      <w:r>
        <w:rPr>
          <w:rFonts w:hint="eastAsia" w:ascii="宋体" w:hAnsi="宋体" w:cs="宋体"/>
          <w:sz w:val="24"/>
          <w:szCs w:val="24"/>
          <w:lang w:eastAsia="zh-CN"/>
        </w:rPr>
        <w:t>（一）</w:t>
      </w:r>
      <w:r>
        <w:rPr>
          <w:rFonts w:hint="eastAsia" w:ascii="宋体" w:hAnsi="宋体" w:cs="宋体"/>
          <w:sz w:val="24"/>
          <w:szCs w:val="24"/>
          <w:lang w:val="en-US" w:eastAsia="zh-CN"/>
        </w:rPr>
        <w:t>实施时间</w:t>
      </w:r>
    </w:p>
    <w:p>
      <w:pPr>
        <w:snapToGrid w:val="0"/>
        <w:spacing w:line="400" w:lineRule="exact"/>
        <w:ind w:firstLine="480" w:firstLineChars="200"/>
        <w:rPr>
          <w:rFonts w:hint="eastAsia" w:ascii="宋体" w:hAnsi="宋体" w:eastAsia="宋体" w:cs="宋体"/>
          <w:sz w:val="24"/>
          <w:szCs w:val="24"/>
        </w:rPr>
      </w:pPr>
      <w:r>
        <w:rPr>
          <w:rFonts w:hint="eastAsia" w:ascii="宋体" w:hAnsi="宋体" w:cs="宋体"/>
          <w:sz w:val="24"/>
          <w:szCs w:val="24"/>
          <w:lang w:val="en-US" w:eastAsia="zh-CN"/>
        </w:rPr>
        <w:t>实</w:t>
      </w:r>
      <w:r>
        <w:rPr>
          <w:rFonts w:hint="eastAsia" w:ascii="宋体" w:hAnsi="宋体" w:cs="宋体"/>
          <w:color w:val="auto"/>
          <w:sz w:val="24"/>
          <w:szCs w:val="24"/>
          <w:lang w:val="en-US" w:eastAsia="zh-CN"/>
        </w:rPr>
        <w:t>施时间</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2024年4月10日前完成文创</w:t>
      </w:r>
      <w:r>
        <w:rPr>
          <w:rFonts w:hint="eastAsia" w:ascii="宋体" w:hAnsi="宋体" w:cs="宋体"/>
          <w:sz w:val="24"/>
          <w:szCs w:val="24"/>
          <w:lang w:val="en-US" w:eastAsia="zh-CN"/>
        </w:rPr>
        <w:t>纪念品设计的最终定稿；2024年4月30日之前交货完成并验收合格</w:t>
      </w:r>
      <w:r>
        <w:rPr>
          <w:rFonts w:hint="eastAsia" w:ascii="宋体" w:hAnsi="宋体" w:eastAsia="宋体" w:cs="宋体"/>
          <w:sz w:val="24"/>
          <w:szCs w:val="24"/>
        </w:rPr>
        <w:t>。</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w:t>
      </w:r>
      <w:r>
        <w:rPr>
          <w:rFonts w:hint="eastAsia" w:ascii="宋体" w:hAnsi="宋体" w:cs="宋体"/>
          <w:sz w:val="24"/>
          <w:szCs w:val="24"/>
          <w:lang w:val="en-US" w:eastAsia="zh-CN"/>
        </w:rPr>
        <w:t>实施</w:t>
      </w:r>
      <w:r>
        <w:rPr>
          <w:rFonts w:hint="eastAsia" w:ascii="宋体" w:hAnsi="宋体" w:eastAsia="宋体" w:cs="宋体"/>
          <w:sz w:val="24"/>
          <w:szCs w:val="24"/>
        </w:rPr>
        <w:t>地点</w:t>
      </w:r>
    </w:p>
    <w:p>
      <w:pPr>
        <w:snapToGrid w:val="0"/>
        <w:spacing w:line="400" w:lineRule="exact"/>
        <w:ind w:firstLine="480" w:firstLineChars="200"/>
        <w:rPr>
          <w:rFonts w:hint="eastAsia" w:ascii="宋体" w:hAnsi="宋体" w:eastAsia="宋体" w:cs="宋体"/>
          <w:sz w:val="24"/>
          <w:szCs w:val="24"/>
        </w:rPr>
      </w:pPr>
      <w:r>
        <w:rPr>
          <w:rFonts w:hint="eastAsia" w:ascii="宋体" w:hAnsi="宋体" w:cs="宋体"/>
          <w:sz w:val="24"/>
          <w:szCs w:val="24"/>
          <w:lang w:eastAsia="zh-CN"/>
        </w:rPr>
        <w:t>重庆市第十一人民医院（重庆市优抚医院）内</w:t>
      </w:r>
      <w:r>
        <w:rPr>
          <w:rFonts w:hint="eastAsia" w:ascii="宋体" w:hAnsi="宋体" w:eastAsia="宋体" w:cs="宋体"/>
          <w:sz w:val="24"/>
          <w:szCs w:val="24"/>
        </w:rPr>
        <w:t>采购人指定地点。</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cs="宋体"/>
          <w:sz w:val="24"/>
          <w:szCs w:val="24"/>
          <w:lang w:val="en-US" w:eastAsia="zh-CN"/>
        </w:rPr>
        <w:t>验收</w:t>
      </w:r>
      <w:r>
        <w:rPr>
          <w:rFonts w:hint="eastAsia" w:ascii="宋体" w:hAnsi="宋体" w:eastAsia="宋体" w:cs="宋体"/>
          <w:sz w:val="24"/>
          <w:szCs w:val="24"/>
        </w:rPr>
        <w:t>方式</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1.货物到达现场后，成交供应商应在使用单位人员在场情况下当面开箱，共同清点、检查外观，作出开箱记录，双方签字确认。</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2.成交供应商应保证货物到达采购人所在地完好无损，如有缺漏、损坏，由供应商负责调换、补齐或赔偿。</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3.成交供应商应提供完备的技术资料、装箱单和合格证等，并派遣专业技术人员进行现场安装调试。验收合格条件如下：</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3.1设备技术参数与采购合同一致，性能指标达到规定的标准。</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3.2货物技术资料、装箱单、合格证等资料齐全。</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3.3在系统试运行期间所出现的问题得到解决，并运行正常。</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3.4在规定时间内完成交货并验收，并经采购人确认。</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4.产品在安装调试并试运行符合要求后，才作为最终验收。</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5.成交供应商提供的货物未达到网上竞采文件规定要求，且对采购人造成损失的，由成交供应商承担一切责任，并赔偿所造成的损失。</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6.大型或者复杂的采购项目，采购人应当邀请国家认可的质量检测机构参加验收工作。</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7.采购人需要制造商对成交供应商交付的产品（包括质量、技术参数等）进行确认的，制造商应予以配合，并出具书面意见。</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8.产品包装材料归采购人所有。</w:t>
      </w:r>
    </w:p>
    <w:p>
      <w:pPr>
        <w:pStyle w:val="2"/>
        <w:numPr>
          <w:ilvl w:val="1"/>
          <w:numId w:val="0"/>
        </w:numPr>
        <w:spacing w:line="400" w:lineRule="exact"/>
        <w:rPr>
          <w:rFonts w:hint="eastAsia" w:ascii="宋体" w:hAnsi="宋体" w:eastAsia="宋体" w:cs="宋体"/>
          <w:b/>
          <w:sz w:val="24"/>
          <w:szCs w:val="24"/>
        </w:rPr>
      </w:pPr>
      <w:bookmarkStart w:id="118" w:name="_Toc22877"/>
      <w:r>
        <w:rPr>
          <w:rFonts w:hint="eastAsia" w:ascii="宋体" w:hAnsi="宋体" w:eastAsia="宋体" w:cs="宋体"/>
          <w:b/>
          <w:sz w:val="24"/>
          <w:szCs w:val="24"/>
        </w:rPr>
        <w:t>二、</w:t>
      </w:r>
      <w:bookmarkEnd w:id="110"/>
      <w:bookmarkEnd w:id="111"/>
      <w:bookmarkEnd w:id="112"/>
      <w:bookmarkEnd w:id="113"/>
      <w:r>
        <w:rPr>
          <w:rFonts w:hint="eastAsia" w:ascii="宋体" w:hAnsi="宋体" w:eastAsia="宋体" w:cs="宋体"/>
          <w:b/>
          <w:sz w:val="24"/>
          <w:szCs w:val="24"/>
        </w:rPr>
        <w:t>报价要求</w:t>
      </w:r>
      <w:bookmarkEnd w:id="118"/>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本次报价为人民币报价，包括但不限于物资费、配送费、制作费以及利润、税金、各种风险等履行完本项目的所有费用。因成交供应商自身原因造成漏报、少报皆由其自行承担责任，采购人不再补偿。</w:t>
      </w:r>
      <w:bookmarkStart w:id="119" w:name="_Toc29365"/>
      <w:bookmarkStart w:id="120" w:name="_Toc31443"/>
      <w:bookmarkStart w:id="121" w:name="_Toc21511"/>
      <w:bookmarkStart w:id="122" w:name="_Toc9937"/>
    </w:p>
    <w:p>
      <w:pPr>
        <w:pStyle w:val="2"/>
        <w:numPr>
          <w:ilvl w:val="1"/>
          <w:numId w:val="0"/>
        </w:numPr>
        <w:spacing w:line="400" w:lineRule="exact"/>
        <w:rPr>
          <w:rFonts w:hint="eastAsia" w:ascii="宋体" w:hAnsi="宋体" w:eastAsia="宋体" w:cs="宋体"/>
          <w:sz w:val="24"/>
          <w:szCs w:val="24"/>
          <w:highlight w:val="none"/>
        </w:rPr>
      </w:pPr>
      <w:bookmarkStart w:id="123" w:name="_Toc1006"/>
      <w:r>
        <w:rPr>
          <w:rFonts w:hint="eastAsia" w:ascii="宋体" w:hAnsi="宋体" w:eastAsia="宋体" w:cs="宋体"/>
          <w:b/>
          <w:sz w:val="24"/>
          <w:szCs w:val="24"/>
        </w:rPr>
        <w:t>三、</w:t>
      </w:r>
      <w:bookmarkEnd w:id="114"/>
      <w:bookmarkEnd w:id="115"/>
      <w:bookmarkEnd w:id="116"/>
      <w:bookmarkEnd w:id="119"/>
      <w:bookmarkEnd w:id="120"/>
      <w:bookmarkEnd w:id="121"/>
      <w:bookmarkEnd w:id="122"/>
      <w:r>
        <w:rPr>
          <w:rFonts w:hint="eastAsia" w:ascii="宋体" w:hAnsi="宋体" w:eastAsia="宋体" w:cs="宋体"/>
          <w:b/>
          <w:sz w:val="24"/>
          <w:szCs w:val="24"/>
        </w:rPr>
        <w:t>付款方式</w:t>
      </w:r>
      <w:bookmarkEnd w:id="117"/>
      <w:bookmarkEnd w:id="123"/>
      <w:bookmarkStart w:id="124" w:name="_Toc32008"/>
      <w:bookmarkStart w:id="125" w:name="_Toc76373881"/>
      <w:bookmarkStart w:id="126" w:name="_Toc31346"/>
      <w:bookmarkStart w:id="127" w:name="_Toc30396"/>
      <w:bookmarkStart w:id="128" w:name="_Toc267320052"/>
      <w:bookmarkStart w:id="129" w:name="_Toc11159"/>
      <w:bookmarkStart w:id="130" w:name="_Toc22056"/>
      <w:bookmarkStart w:id="131" w:name="_Toc21764"/>
    </w:p>
    <w:p>
      <w:pPr>
        <w:pStyle w:val="11"/>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交货完成并经采购人验收合格后一次性支付合同全款</w:t>
      </w:r>
      <w:r>
        <w:rPr>
          <w:rFonts w:hint="eastAsia"/>
          <w:color w:val="FF0000"/>
          <w:lang w:eastAsia="zh-CN"/>
        </w:rPr>
        <w:t>。</w:t>
      </w:r>
    </w:p>
    <w:p>
      <w:pPr>
        <w:pStyle w:val="2"/>
        <w:numPr>
          <w:ilvl w:val="1"/>
          <w:numId w:val="0"/>
        </w:numPr>
        <w:spacing w:line="400" w:lineRule="exact"/>
        <w:rPr>
          <w:rFonts w:hint="eastAsia" w:ascii="宋体" w:hAnsi="宋体" w:eastAsia="宋体" w:cs="宋体"/>
          <w:b/>
          <w:sz w:val="24"/>
          <w:szCs w:val="24"/>
        </w:rPr>
      </w:pPr>
      <w:bookmarkStart w:id="132" w:name="_Toc22720"/>
      <w:r>
        <w:rPr>
          <w:rFonts w:hint="eastAsia" w:ascii="宋体" w:hAnsi="宋体" w:eastAsia="宋体" w:cs="宋体"/>
          <w:b/>
          <w:sz w:val="24"/>
          <w:szCs w:val="24"/>
        </w:rPr>
        <w:t>四、知识产权</w:t>
      </w:r>
      <w:bookmarkEnd w:id="124"/>
      <w:bookmarkEnd w:id="125"/>
      <w:bookmarkEnd w:id="126"/>
      <w:bookmarkEnd w:id="127"/>
      <w:bookmarkEnd w:id="128"/>
      <w:bookmarkEnd w:id="129"/>
      <w:bookmarkEnd w:id="130"/>
      <w:bookmarkEnd w:id="131"/>
      <w:bookmarkEnd w:id="132"/>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采购人在中华人民共和国境内使用供应商提供的货物及服务时免受第三方提出的侵犯其专利权或其它知识产权的起诉。如果第三方提出侵权指控，成交供应商应承担由此而引起的一切法律责任和费用。</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（注：若涉及软件开发等服务类项目知识产权的，知识产权归采购人所有）。</w:t>
      </w:r>
    </w:p>
    <w:p>
      <w:pPr>
        <w:pStyle w:val="2"/>
        <w:numPr>
          <w:ilvl w:val="1"/>
          <w:numId w:val="0"/>
        </w:numPr>
        <w:spacing w:line="400" w:lineRule="exact"/>
        <w:rPr>
          <w:rFonts w:hint="default" w:ascii="宋体" w:hAnsi="宋体" w:eastAsia="宋体" w:cs="宋体"/>
          <w:sz w:val="24"/>
          <w:szCs w:val="24"/>
          <w:highlight w:val="none"/>
          <w:lang w:val="en-US" w:eastAsia="zh-CN"/>
        </w:rPr>
      </w:pPr>
      <w:bookmarkStart w:id="133" w:name="_Toc12459"/>
      <w:r>
        <w:rPr>
          <w:rFonts w:hint="eastAsia" w:ascii="宋体" w:hAnsi="宋体" w:eastAsia="宋体" w:cs="宋体"/>
          <w:b/>
          <w:sz w:val="24"/>
          <w:szCs w:val="24"/>
          <w:lang w:val="en-US" w:eastAsia="zh-CN"/>
        </w:rPr>
        <w:t>五</w:t>
      </w:r>
      <w:r>
        <w:rPr>
          <w:rFonts w:hint="eastAsia" w:ascii="宋体" w:hAnsi="宋体" w:eastAsia="宋体" w:cs="宋体"/>
          <w:b/>
          <w:sz w:val="24"/>
          <w:szCs w:val="24"/>
        </w:rPr>
        <w:t>、</w:t>
      </w:r>
      <w:r>
        <w:rPr>
          <w:rFonts w:hint="eastAsia" w:ascii="宋体" w:hAnsi="宋体" w:eastAsia="宋体" w:cs="宋体"/>
          <w:b/>
          <w:sz w:val="24"/>
          <w:szCs w:val="24"/>
          <w:lang w:val="en-US" w:eastAsia="zh-CN"/>
        </w:rPr>
        <w:t>违约责任</w:t>
      </w:r>
      <w:bookmarkEnd w:id="133"/>
    </w:p>
    <w:p>
      <w:pPr>
        <w:pStyle w:val="11"/>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（一）若非采购人原因，成交供应商不能完成合同约定事项并通过验收，将处以合同金额10%的违约金罚款。逾期超过5日（不含）的，采购人有权解除合同、不予付款。</w:t>
      </w:r>
    </w:p>
    <w:p>
      <w:pPr>
        <w:pStyle w:val="11"/>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（二）成交供应商不按合同和采购公告约定提供服务或对服务问题不进行整改的，采购人有权解除合同、不予付款，并没收成交供应商履约保证金。</w:t>
      </w:r>
    </w:p>
    <w:p>
      <w:pPr>
        <w:pStyle w:val="11"/>
        <w:ind w:firstLine="480" w:firstLineChars="200"/>
        <w:rPr>
          <w:rFonts w:hint="eastAsia"/>
        </w:rPr>
      </w:pPr>
      <w:r>
        <w:rPr>
          <w:rFonts w:hint="eastAsia" w:ascii="宋体" w:hAnsi="宋体" w:eastAsia="宋体" w:cs="宋体"/>
          <w:sz w:val="24"/>
          <w:szCs w:val="24"/>
          <w:highlight w:val="none"/>
        </w:rPr>
        <w:t>（三）若成交供应商无正当理由放弃提供服务的，将处以合同金额10</w:t>
      </w:r>
      <w:r>
        <w:rPr>
          <w:rFonts w:hint="eastAsia" w:ascii="宋体" w:hAnsi="宋体" w:eastAsia="宋体" w:cs="宋体"/>
          <w:color w:val="auto"/>
          <w:sz w:val="24"/>
          <w:szCs w:val="24"/>
          <w:highlight w:val="none"/>
        </w:rPr>
        <w:t>%违约金</w:t>
      </w:r>
      <w:r>
        <w:rPr>
          <w:rFonts w:hint="eastAsia"/>
          <w:color w:val="auto"/>
          <w:lang w:eastAsia="zh-CN"/>
        </w:rPr>
        <w:t>。</w:t>
      </w:r>
    </w:p>
    <w:p>
      <w:pPr>
        <w:pStyle w:val="2"/>
        <w:numPr>
          <w:ilvl w:val="1"/>
          <w:numId w:val="0"/>
        </w:numPr>
        <w:spacing w:line="400" w:lineRule="exact"/>
        <w:rPr>
          <w:rFonts w:hint="eastAsia" w:ascii="宋体" w:hAnsi="宋体" w:eastAsia="宋体" w:cs="宋体"/>
          <w:b/>
          <w:sz w:val="24"/>
          <w:szCs w:val="24"/>
        </w:rPr>
      </w:pPr>
      <w:bookmarkStart w:id="134" w:name="_Toc27211"/>
      <w:bookmarkStart w:id="135" w:name="_Toc27121"/>
      <w:bookmarkStart w:id="136" w:name="_Toc1051"/>
      <w:bookmarkStart w:id="137" w:name="_Toc13865"/>
      <w:bookmarkStart w:id="138" w:name="_Toc28960"/>
      <w:bookmarkStart w:id="139" w:name="_Toc32649"/>
      <w:bookmarkStart w:id="140" w:name="_Toc76373883"/>
      <w:bookmarkStart w:id="141" w:name="_Toc22507"/>
      <w:r>
        <w:rPr>
          <w:rFonts w:hint="eastAsia" w:ascii="宋体" w:hAnsi="宋体" w:eastAsia="宋体" w:cs="宋体"/>
          <w:b/>
          <w:sz w:val="24"/>
          <w:szCs w:val="24"/>
          <w:lang w:val="en-US" w:eastAsia="zh-CN"/>
        </w:rPr>
        <w:t>六</w:t>
      </w:r>
      <w:r>
        <w:rPr>
          <w:rFonts w:hint="eastAsia" w:ascii="宋体" w:hAnsi="宋体" w:eastAsia="宋体" w:cs="宋体"/>
          <w:b/>
          <w:sz w:val="24"/>
          <w:szCs w:val="24"/>
        </w:rPr>
        <w:t>、其他</w:t>
      </w:r>
      <w:bookmarkEnd w:id="134"/>
      <w:bookmarkEnd w:id="135"/>
      <w:bookmarkEnd w:id="136"/>
      <w:bookmarkEnd w:id="137"/>
      <w:bookmarkEnd w:id="138"/>
      <w:bookmarkEnd w:id="139"/>
      <w:bookmarkEnd w:id="140"/>
      <w:bookmarkEnd w:id="141"/>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（一）供应商必须在投标文件中对以上条款和服务承诺明确列出，承诺内容必须达到本篇及竞争性磋商文件其他条款的要求。</w:t>
      </w:r>
    </w:p>
    <w:p>
      <w:pPr>
        <w:widowControl/>
        <w:snapToGrid w:val="0"/>
        <w:spacing w:line="400" w:lineRule="exact"/>
        <w:ind w:firstLine="540"/>
        <w:rPr>
          <w:rFonts w:hint="eastAsia" w:ascii="宋体" w:hAnsi="宋体" w:eastAsia="宋体" w:cs="宋体"/>
          <w:sz w:val="24"/>
          <w:szCs w:val="24"/>
        </w:rPr>
      </w:pPr>
      <w:r>
        <w:rPr>
          <w:rFonts w:hint="eastAsia" w:ascii="宋体" w:hAnsi="宋体" w:eastAsia="宋体" w:cs="宋体"/>
          <w:sz w:val="24"/>
          <w:szCs w:val="24"/>
        </w:rPr>
        <w:t>（二）其他未尽事宜由供需双方在采购合同中详细约定。</w:t>
      </w:r>
    </w:p>
    <w:p>
      <w:pPr>
        <w:spacing w:line="594" w:lineRule="exact"/>
        <w:rPr>
          <w:rFonts w:hint="eastAsia" w:ascii="宋体" w:hAnsi="宋体" w:eastAsia="宋体" w:cs="宋体"/>
          <w:sz w:val="32"/>
          <w:szCs w:val="32"/>
        </w:rPr>
      </w:pPr>
    </w:p>
    <w:p>
      <w:pPr>
        <w:rPr>
          <w:rFonts w:hint="eastAsia" w:ascii="宋体" w:hAnsi="宋体" w:eastAsia="宋体" w:cs="宋体"/>
        </w:rPr>
      </w:pPr>
    </w:p>
    <w:p>
      <w:pPr>
        <w:pStyle w:val="2"/>
        <w:pageBreakBefore/>
        <w:numPr>
          <w:ilvl w:val="1"/>
          <w:numId w:val="0"/>
        </w:numPr>
        <w:spacing w:line="360" w:lineRule="auto"/>
        <w:jc w:val="center"/>
        <w:rPr>
          <w:rFonts w:hint="eastAsia" w:ascii="宋体" w:hAnsi="宋体" w:eastAsia="宋体" w:cs="宋体"/>
          <w:sz w:val="36"/>
          <w:szCs w:val="30"/>
        </w:rPr>
      </w:pPr>
      <w:bookmarkStart w:id="142" w:name="_Toc9000"/>
      <w:bookmarkStart w:id="143" w:name="_Toc5979"/>
      <w:bookmarkStart w:id="144" w:name="_Toc76462332"/>
      <w:bookmarkStart w:id="145" w:name="_Toc106030887"/>
      <w:bookmarkStart w:id="146" w:name="_Toc14992"/>
      <w:bookmarkStart w:id="147" w:name="_Toc11396"/>
      <w:bookmarkStart w:id="148" w:name="_Toc28286"/>
      <w:r>
        <w:rPr>
          <w:rFonts w:hint="eastAsia" w:ascii="宋体" w:hAnsi="宋体" w:eastAsia="宋体" w:cs="宋体"/>
          <w:sz w:val="36"/>
          <w:szCs w:val="30"/>
        </w:rPr>
        <w:t>第四篇  磋商程序及方法、评审标准、无效响应和</w:t>
      </w:r>
      <w:r>
        <w:rPr>
          <w:rFonts w:hint="eastAsia" w:ascii="宋体" w:hAnsi="宋体" w:eastAsia="宋体" w:cs="宋体"/>
          <w:sz w:val="36"/>
          <w:szCs w:val="36"/>
        </w:rPr>
        <w:t>采购终止</w:t>
      </w:r>
      <w:bookmarkEnd w:id="142"/>
      <w:bookmarkEnd w:id="143"/>
      <w:bookmarkEnd w:id="144"/>
      <w:bookmarkEnd w:id="145"/>
      <w:bookmarkEnd w:id="146"/>
      <w:bookmarkEnd w:id="147"/>
      <w:bookmarkEnd w:id="148"/>
    </w:p>
    <w:p>
      <w:pPr>
        <w:pStyle w:val="2"/>
        <w:numPr>
          <w:ilvl w:val="1"/>
          <w:numId w:val="0"/>
        </w:numPr>
        <w:adjustRightInd w:val="0"/>
        <w:snapToGrid w:val="0"/>
        <w:spacing w:line="400" w:lineRule="exact"/>
        <w:rPr>
          <w:rFonts w:hint="eastAsia" w:ascii="宋体" w:hAnsi="宋体" w:eastAsia="宋体" w:cs="宋体"/>
          <w:b/>
          <w:bCs w:val="0"/>
          <w:sz w:val="24"/>
        </w:rPr>
      </w:pPr>
      <w:bookmarkStart w:id="149" w:name="_Toc25370"/>
      <w:bookmarkStart w:id="150" w:name="_Toc13676"/>
      <w:bookmarkStart w:id="151" w:name="_Toc11861"/>
      <w:bookmarkStart w:id="152" w:name="_Toc26628"/>
      <w:bookmarkStart w:id="153" w:name="_Toc76462333"/>
      <w:bookmarkStart w:id="154" w:name="_Toc28798"/>
      <w:bookmarkStart w:id="155" w:name="_Toc106030888"/>
      <w:r>
        <w:rPr>
          <w:rFonts w:hint="eastAsia" w:ascii="宋体" w:hAnsi="宋体" w:eastAsia="宋体" w:cs="宋体"/>
          <w:b/>
          <w:bCs w:val="0"/>
          <w:sz w:val="24"/>
        </w:rPr>
        <w:t>一、磋商程序及方法</w:t>
      </w:r>
      <w:bookmarkEnd w:id="149"/>
      <w:bookmarkEnd w:id="150"/>
      <w:bookmarkEnd w:id="151"/>
      <w:bookmarkEnd w:id="152"/>
      <w:bookmarkEnd w:id="153"/>
      <w:bookmarkEnd w:id="154"/>
      <w:bookmarkEnd w:id="155"/>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磋商按竞争性磋商文件规定的时间和地点进行，供应商须有法定代表人（或其授权代表）或自然人参加并签到。竞争性磋商以抽签的形式确定磋商顺序，由本项目依法组建的竞争性磋商小组（以下简称磋商小组）分别与各供应商进行磋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sz w:val="24"/>
          <w:szCs w:val="24"/>
        </w:rPr>
        <w:t>1.</w:t>
      </w:r>
      <w:r>
        <w:rPr>
          <w:rFonts w:hint="eastAsia" w:ascii="宋体" w:hAnsi="宋体" w:eastAsia="宋体" w:cs="宋体"/>
          <w:kern w:val="0"/>
          <w:sz w:val="24"/>
          <w:szCs w:val="24"/>
        </w:rPr>
        <w:t>资格性审查。依据法律法规和竞争性磋商文件的规定，对响应文件中的资格证明、等进行审查，以确定供应商是否具备磋商资格。资格性审查资料表如下：</w:t>
      </w: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118"/>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kern w:val="0"/>
                <w:sz w:val="21"/>
                <w:szCs w:val="21"/>
              </w:rPr>
            </w:pPr>
            <w:r>
              <w:rPr>
                <w:rFonts w:hint="eastAsia" w:ascii="宋体" w:hAnsi="宋体" w:eastAsia="宋体" w:cs="宋体"/>
                <w:b/>
                <w:kern w:val="0"/>
                <w:sz w:val="21"/>
                <w:szCs w:val="21"/>
              </w:rPr>
              <w:t>序号</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kern w:val="0"/>
                <w:sz w:val="21"/>
                <w:szCs w:val="21"/>
              </w:rPr>
            </w:pPr>
            <w:r>
              <w:rPr>
                <w:rFonts w:hint="eastAsia" w:ascii="宋体" w:hAnsi="宋体" w:eastAsia="宋体" w:cs="宋体"/>
                <w:b/>
                <w:kern w:val="0"/>
                <w:sz w:val="21"/>
                <w:szCs w:val="21"/>
              </w:rPr>
              <w:t>检查因素</w:t>
            </w:r>
          </w:p>
        </w:tc>
        <w:tc>
          <w:tcPr>
            <w:tcW w:w="4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kern w:val="0"/>
                <w:sz w:val="21"/>
                <w:szCs w:val="21"/>
              </w:rPr>
            </w:pPr>
            <w:r>
              <w:rPr>
                <w:rFonts w:hint="eastAsia" w:ascii="宋体" w:hAnsi="宋体" w:eastAsia="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hint="eastAsia" w:ascii="宋体" w:hAnsi="宋体" w:eastAsia="宋体" w:cs="宋体"/>
                <w:sz w:val="21"/>
                <w:szCs w:val="21"/>
              </w:rPr>
            </w:pPr>
            <w:r>
              <w:rPr>
                <w:rFonts w:hint="eastAsia" w:ascii="宋体" w:hAnsi="宋体" w:eastAsia="宋体" w:cs="宋体"/>
                <w:sz w:val="21"/>
                <w:szCs w:val="21"/>
              </w:rPr>
              <w:t>（一）</w:t>
            </w:r>
          </w:p>
        </w:tc>
        <w:tc>
          <w:tcPr>
            <w:tcW w:w="709" w:type="dxa"/>
            <w:vMerge w:val="restart"/>
            <w:vAlign w:val="center"/>
          </w:tcPr>
          <w:p>
            <w:pPr>
              <w:rPr>
                <w:rFonts w:hint="eastAsia" w:ascii="宋体" w:hAnsi="宋体" w:eastAsia="宋体" w:cs="宋体"/>
                <w:sz w:val="21"/>
                <w:szCs w:val="21"/>
                <w:lang w:val="zh-CN"/>
              </w:rPr>
            </w:pPr>
            <w:r>
              <w:rPr>
                <w:rFonts w:hint="eastAsia" w:ascii="宋体" w:hAnsi="宋体" w:eastAsia="宋体" w:cs="宋体"/>
                <w:sz w:val="21"/>
                <w:szCs w:val="21"/>
                <w:lang w:val="zh-CN"/>
              </w:rPr>
              <w:t>《中华人民共和国政府采购法》第二十二条规定</w:t>
            </w:r>
          </w:p>
        </w:tc>
        <w:tc>
          <w:tcPr>
            <w:tcW w:w="3118" w:type="dxa"/>
            <w:vAlign w:val="center"/>
          </w:tcPr>
          <w:p>
            <w:pPr>
              <w:rPr>
                <w:rFonts w:hint="eastAsia" w:ascii="宋体" w:hAnsi="宋体" w:eastAsia="宋体" w:cs="宋体"/>
                <w:sz w:val="21"/>
                <w:szCs w:val="21"/>
              </w:rPr>
            </w:pPr>
            <w:r>
              <w:rPr>
                <w:rFonts w:hint="eastAsia" w:ascii="宋体" w:hAnsi="宋体" w:eastAsia="宋体" w:cs="宋体"/>
                <w:sz w:val="21"/>
                <w:szCs w:val="21"/>
              </w:rPr>
              <w:t>1.具有独立承担民事责任的能力</w:t>
            </w:r>
          </w:p>
        </w:tc>
        <w:tc>
          <w:tcPr>
            <w:tcW w:w="4984" w:type="dxa"/>
            <w:vAlign w:val="center"/>
          </w:tcPr>
          <w:p>
            <w:pPr>
              <w:rPr>
                <w:rFonts w:hint="eastAsia" w:ascii="宋体" w:hAnsi="宋体" w:eastAsia="宋体" w:cs="宋体"/>
                <w:sz w:val="21"/>
                <w:szCs w:val="21"/>
              </w:rPr>
            </w:pPr>
            <w:r>
              <w:rPr>
                <w:rFonts w:hint="eastAsia" w:ascii="宋体" w:hAnsi="宋体" w:eastAsia="宋体" w:cs="宋体"/>
                <w:sz w:val="21"/>
                <w:szCs w:val="21"/>
              </w:rPr>
              <w:t xml:space="preserve">1.供应商法人营业执照（副本）或事业单位法人证书（副本）或个体工商户营业执照或有效的自然人身份证明或社会团体法人登记证书（提供复印件）。 </w:t>
            </w:r>
          </w:p>
          <w:p>
            <w:pPr>
              <w:rPr>
                <w:rFonts w:hint="eastAsia" w:ascii="宋体" w:hAnsi="宋体" w:eastAsia="宋体" w:cs="宋体"/>
                <w:sz w:val="21"/>
                <w:szCs w:val="21"/>
              </w:rPr>
            </w:pPr>
            <w:r>
              <w:rPr>
                <w:rFonts w:hint="eastAsia" w:ascii="宋体" w:hAnsi="宋体" w:eastAsia="宋体" w:cs="宋体"/>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hint="eastAsia" w:ascii="宋体" w:hAnsi="宋体" w:eastAsia="宋体" w:cs="宋体"/>
                <w:sz w:val="21"/>
                <w:szCs w:val="21"/>
              </w:rPr>
            </w:pPr>
          </w:p>
        </w:tc>
        <w:tc>
          <w:tcPr>
            <w:tcW w:w="709" w:type="dxa"/>
            <w:vMerge w:val="continue"/>
            <w:vAlign w:val="center"/>
          </w:tcPr>
          <w:p>
            <w:pPr>
              <w:rPr>
                <w:rFonts w:hint="eastAsia" w:ascii="宋体" w:hAnsi="宋体" w:eastAsia="宋体" w:cs="宋体"/>
                <w:sz w:val="21"/>
                <w:szCs w:val="21"/>
                <w:lang w:val="zh-CN"/>
              </w:rPr>
            </w:pPr>
          </w:p>
        </w:tc>
        <w:tc>
          <w:tcPr>
            <w:tcW w:w="3118" w:type="dxa"/>
            <w:vAlign w:val="center"/>
          </w:tcPr>
          <w:p>
            <w:pPr>
              <w:rPr>
                <w:rFonts w:hint="eastAsia" w:ascii="宋体" w:hAnsi="宋体" w:eastAsia="宋体" w:cs="宋体"/>
                <w:sz w:val="21"/>
                <w:szCs w:val="21"/>
              </w:rPr>
            </w:pPr>
            <w:r>
              <w:rPr>
                <w:rFonts w:hint="eastAsia" w:ascii="宋体" w:hAnsi="宋体" w:eastAsia="宋体" w:cs="宋体"/>
                <w:sz w:val="21"/>
                <w:szCs w:val="21"/>
                <w:lang w:val="zh-CN"/>
              </w:rPr>
              <w:t>2.</w:t>
            </w:r>
            <w:r>
              <w:rPr>
                <w:rFonts w:hint="eastAsia" w:ascii="宋体" w:hAnsi="宋体" w:eastAsia="宋体" w:cs="宋体"/>
                <w:sz w:val="21"/>
                <w:szCs w:val="21"/>
              </w:rPr>
              <w:t>具有良好的商业信誉和健全的财务会计制度</w:t>
            </w:r>
          </w:p>
        </w:tc>
        <w:tc>
          <w:tcPr>
            <w:tcW w:w="4984" w:type="dxa"/>
            <w:vMerge w:val="restart"/>
            <w:vAlign w:val="center"/>
          </w:tcPr>
          <w:p>
            <w:pPr>
              <w:rPr>
                <w:rFonts w:hint="eastAsia" w:ascii="宋体" w:hAnsi="宋体" w:eastAsia="宋体" w:cs="宋体"/>
                <w:b/>
                <w:sz w:val="21"/>
                <w:szCs w:val="21"/>
              </w:rPr>
            </w:pPr>
            <w:r>
              <w:rPr>
                <w:rFonts w:hint="eastAsia" w:ascii="宋体" w:hAnsi="宋体" w:eastAsia="宋体" w:cs="宋体"/>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hint="eastAsia" w:ascii="宋体" w:hAnsi="宋体" w:eastAsia="宋体" w:cs="宋体"/>
                <w:sz w:val="21"/>
                <w:szCs w:val="21"/>
              </w:rPr>
            </w:pPr>
          </w:p>
        </w:tc>
        <w:tc>
          <w:tcPr>
            <w:tcW w:w="709" w:type="dxa"/>
            <w:vMerge w:val="continue"/>
            <w:vAlign w:val="center"/>
          </w:tcPr>
          <w:p>
            <w:pPr>
              <w:rPr>
                <w:rFonts w:hint="eastAsia" w:ascii="宋体" w:hAnsi="宋体" w:eastAsia="宋体" w:cs="宋体"/>
                <w:sz w:val="21"/>
                <w:szCs w:val="21"/>
                <w:lang w:val="zh-CN"/>
              </w:rPr>
            </w:pPr>
          </w:p>
        </w:tc>
        <w:tc>
          <w:tcPr>
            <w:tcW w:w="3118" w:type="dxa"/>
            <w:vAlign w:val="center"/>
          </w:tcPr>
          <w:p>
            <w:pPr>
              <w:rPr>
                <w:rFonts w:hint="eastAsia" w:ascii="宋体" w:hAnsi="宋体" w:eastAsia="宋体" w:cs="宋体"/>
                <w:sz w:val="21"/>
                <w:szCs w:val="21"/>
                <w:lang w:val="zh-CN"/>
              </w:rPr>
            </w:pPr>
            <w:r>
              <w:rPr>
                <w:rFonts w:hint="eastAsia" w:ascii="宋体" w:hAnsi="宋体" w:eastAsia="宋体" w:cs="宋体"/>
                <w:sz w:val="21"/>
                <w:szCs w:val="21"/>
                <w:lang w:val="zh-CN"/>
              </w:rPr>
              <w:t>3.具有履行合同所必需的设备和专业技术能力</w:t>
            </w:r>
          </w:p>
        </w:tc>
        <w:tc>
          <w:tcPr>
            <w:tcW w:w="4984" w:type="dxa"/>
            <w:vMerge w:val="continue"/>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Merge w:val="continue"/>
            <w:vAlign w:val="center"/>
          </w:tcPr>
          <w:p>
            <w:pPr>
              <w:jc w:val="center"/>
              <w:rPr>
                <w:rFonts w:hint="eastAsia" w:ascii="宋体" w:hAnsi="宋体" w:eastAsia="宋体" w:cs="宋体"/>
                <w:sz w:val="21"/>
                <w:szCs w:val="21"/>
              </w:rPr>
            </w:pPr>
          </w:p>
        </w:tc>
        <w:tc>
          <w:tcPr>
            <w:tcW w:w="709" w:type="dxa"/>
            <w:vMerge w:val="continue"/>
            <w:vAlign w:val="center"/>
          </w:tcPr>
          <w:p>
            <w:pPr>
              <w:rPr>
                <w:rFonts w:hint="eastAsia" w:ascii="宋体" w:hAnsi="宋体" w:eastAsia="宋体" w:cs="宋体"/>
                <w:sz w:val="21"/>
                <w:szCs w:val="21"/>
                <w:lang w:val="zh-CN"/>
              </w:rPr>
            </w:pPr>
          </w:p>
        </w:tc>
        <w:tc>
          <w:tcPr>
            <w:tcW w:w="3118" w:type="dxa"/>
            <w:vAlign w:val="center"/>
          </w:tcPr>
          <w:p>
            <w:pPr>
              <w:rPr>
                <w:rFonts w:hint="eastAsia" w:ascii="宋体" w:hAnsi="宋体" w:eastAsia="宋体" w:cs="宋体"/>
                <w:sz w:val="21"/>
                <w:szCs w:val="21"/>
                <w:lang w:val="zh-CN"/>
              </w:rPr>
            </w:pPr>
            <w:r>
              <w:rPr>
                <w:rFonts w:hint="eastAsia" w:ascii="宋体" w:hAnsi="宋体" w:eastAsia="宋体" w:cs="宋体"/>
                <w:sz w:val="21"/>
                <w:szCs w:val="21"/>
                <w:lang w:val="zh-CN"/>
              </w:rPr>
              <w:t>4.有依法缴纳税收和社会保障金的良好记录</w:t>
            </w:r>
          </w:p>
        </w:tc>
        <w:tc>
          <w:tcPr>
            <w:tcW w:w="4984" w:type="dxa"/>
            <w:vMerge w:val="continue"/>
            <w:vAlign w:val="center"/>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hint="eastAsia" w:ascii="宋体" w:hAnsi="宋体" w:eastAsia="宋体" w:cs="宋体"/>
                <w:sz w:val="21"/>
                <w:szCs w:val="21"/>
              </w:rPr>
            </w:pPr>
          </w:p>
        </w:tc>
        <w:tc>
          <w:tcPr>
            <w:tcW w:w="709" w:type="dxa"/>
            <w:vMerge w:val="continue"/>
            <w:vAlign w:val="center"/>
          </w:tcPr>
          <w:p>
            <w:pPr>
              <w:rPr>
                <w:rFonts w:hint="eastAsia" w:ascii="宋体" w:hAnsi="宋体" w:eastAsia="宋体" w:cs="宋体"/>
                <w:sz w:val="21"/>
                <w:szCs w:val="21"/>
                <w:lang w:val="zh-CN"/>
              </w:rPr>
            </w:pPr>
          </w:p>
        </w:tc>
        <w:tc>
          <w:tcPr>
            <w:tcW w:w="3118" w:type="dxa"/>
            <w:vAlign w:val="center"/>
          </w:tcPr>
          <w:p>
            <w:pPr>
              <w:rPr>
                <w:rFonts w:hint="eastAsia" w:ascii="宋体" w:hAnsi="宋体" w:eastAsia="宋体" w:cs="宋体"/>
                <w:sz w:val="21"/>
                <w:szCs w:val="21"/>
              </w:rPr>
            </w:pPr>
            <w:r>
              <w:rPr>
                <w:rFonts w:hint="eastAsia" w:ascii="宋体" w:hAnsi="宋体" w:eastAsia="宋体" w:cs="宋体"/>
                <w:sz w:val="21"/>
                <w:szCs w:val="21"/>
              </w:rPr>
              <w:t>5.参加政府采购活动前三年内，在经营活动中没有重大违法记录（注</w:t>
            </w: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eq \o\ac(○,</w:instrText>
            </w:r>
            <w:r>
              <w:rPr>
                <w:rFonts w:hint="eastAsia" w:ascii="宋体" w:hAnsi="宋体" w:eastAsia="宋体" w:cs="宋体"/>
                <w:kern w:val="0"/>
                <w:position w:val="3"/>
                <w:sz w:val="16"/>
                <w:szCs w:val="24"/>
              </w:rPr>
              <w:instrText xml:space="preserve">1</w:instrText>
            </w:r>
            <w:r>
              <w:rPr>
                <w:rFonts w:hint="eastAsia" w:ascii="宋体" w:hAnsi="宋体" w:eastAsia="宋体" w:cs="宋体"/>
                <w:kern w:val="0"/>
                <w:sz w:val="24"/>
                <w:szCs w:val="24"/>
              </w:rPr>
              <w:instrText xml:space="preserve">)</w:instrTex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w:t>
            </w:r>
          </w:p>
        </w:tc>
        <w:tc>
          <w:tcPr>
            <w:tcW w:w="4984" w:type="dxa"/>
            <w:vMerge w:val="continue"/>
            <w:vAlign w:val="center"/>
          </w:tcPr>
          <w:p>
            <w:pP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jc w:val="center"/>
              <w:rPr>
                <w:rFonts w:hint="eastAsia" w:ascii="宋体" w:hAnsi="宋体" w:eastAsia="宋体" w:cs="宋体"/>
                <w:sz w:val="21"/>
                <w:szCs w:val="21"/>
              </w:rPr>
            </w:pPr>
          </w:p>
        </w:tc>
        <w:tc>
          <w:tcPr>
            <w:tcW w:w="709" w:type="dxa"/>
            <w:vMerge w:val="continue"/>
            <w:vAlign w:val="center"/>
          </w:tcPr>
          <w:p>
            <w:pPr>
              <w:rPr>
                <w:rFonts w:hint="eastAsia" w:ascii="宋体" w:hAnsi="宋体" w:eastAsia="宋体" w:cs="宋体"/>
                <w:sz w:val="21"/>
                <w:szCs w:val="21"/>
              </w:rPr>
            </w:pPr>
          </w:p>
        </w:tc>
        <w:tc>
          <w:tcPr>
            <w:tcW w:w="3118" w:type="dxa"/>
            <w:vAlign w:val="center"/>
          </w:tcPr>
          <w:p>
            <w:pPr>
              <w:rPr>
                <w:rFonts w:hint="eastAsia" w:ascii="宋体" w:hAnsi="宋体" w:eastAsia="宋体" w:cs="宋体"/>
                <w:sz w:val="21"/>
                <w:szCs w:val="21"/>
              </w:rPr>
            </w:pPr>
            <w:r>
              <w:rPr>
                <w:rFonts w:hint="eastAsia" w:ascii="宋体" w:hAnsi="宋体" w:eastAsia="宋体" w:cs="宋体"/>
                <w:sz w:val="21"/>
                <w:szCs w:val="21"/>
              </w:rPr>
              <w:t>6.法律、行政法规规定的其他条件</w:t>
            </w:r>
          </w:p>
        </w:tc>
        <w:tc>
          <w:tcPr>
            <w:tcW w:w="498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jc w:val="center"/>
              <w:rPr>
                <w:rFonts w:hint="eastAsia" w:ascii="宋体" w:hAnsi="宋体" w:eastAsia="宋体" w:cs="宋体"/>
                <w:sz w:val="21"/>
                <w:szCs w:val="21"/>
              </w:rPr>
            </w:pPr>
          </w:p>
        </w:tc>
        <w:tc>
          <w:tcPr>
            <w:tcW w:w="709" w:type="dxa"/>
            <w:vMerge w:val="continue"/>
            <w:vAlign w:val="center"/>
          </w:tcPr>
          <w:p>
            <w:pPr>
              <w:rPr>
                <w:rFonts w:hint="eastAsia" w:ascii="宋体" w:hAnsi="宋体" w:eastAsia="宋体" w:cs="宋体"/>
                <w:sz w:val="21"/>
                <w:szCs w:val="21"/>
              </w:rPr>
            </w:pPr>
          </w:p>
        </w:tc>
        <w:tc>
          <w:tcPr>
            <w:tcW w:w="3118" w:type="dxa"/>
            <w:vAlign w:val="center"/>
          </w:tcPr>
          <w:p>
            <w:pPr>
              <w:rPr>
                <w:rFonts w:hint="eastAsia" w:ascii="宋体" w:hAnsi="宋体" w:eastAsia="宋体" w:cs="宋体"/>
                <w:sz w:val="21"/>
                <w:szCs w:val="21"/>
              </w:rPr>
            </w:pPr>
            <w:r>
              <w:rPr>
                <w:rFonts w:hint="eastAsia" w:ascii="宋体" w:hAnsi="宋体" w:eastAsia="宋体" w:cs="宋体"/>
                <w:sz w:val="21"/>
                <w:szCs w:val="21"/>
              </w:rPr>
              <w:t>7.本项目的特定资格要求</w:t>
            </w:r>
          </w:p>
        </w:tc>
        <w:tc>
          <w:tcPr>
            <w:tcW w:w="4984" w:type="dxa"/>
            <w:vAlign w:val="center"/>
          </w:tcPr>
          <w:p>
            <w:pPr>
              <w:rPr>
                <w:rFonts w:hint="eastAsia" w:ascii="宋体" w:hAnsi="宋体" w:eastAsia="宋体" w:cs="宋体"/>
                <w:sz w:val="21"/>
                <w:szCs w:val="21"/>
              </w:rPr>
            </w:pPr>
            <w:r>
              <w:rPr>
                <w:rFonts w:hint="eastAsia" w:ascii="宋体" w:hAnsi="宋体" w:eastAsia="宋体" w:cs="宋体"/>
                <w:sz w:val="21"/>
                <w:szCs w:val="21"/>
              </w:rPr>
              <w:t>按“第一篇 三、供应商资格要求（二）本项目的特定资格要求”的要求提交（如果有）。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（二）</w:t>
            </w:r>
          </w:p>
        </w:tc>
        <w:tc>
          <w:tcPr>
            <w:tcW w:w="3827" w:type="dxa"/>
            <w:gridSpan w:val="2"/>
            <w:vAlign w:val="center"/>
          </w:tcPr>
          <w:p>
            <w:pPr>
              <w:jc w:val="left"/>
              <w:rPr>
                <w:rFonts w:hint="eastAsia" w:ascii="宋体" w:hAnsi="宋体" w:eastAsia="宋体" w:cs="宋体"/>
                <w:sz w:val="21"/>
                <w:szCs w:val="21"/>
              </w:rPr>
            </w:pPr>
            <w:r>
              <w:rPr>
                <w:rFonts w:hint="eastAsia" w:ascii="宋体" w:hAnsi="宋体" w:eastAsia="宋体" w:cs="宋体"/>
                <w:sz w:val="21"/>
                <w:szCs w:val="21"/>
              </w:rPr>
              <w:t>保证金</w:t>
            </w:r>
          </w:p>
        </w:tc>
        <w:tc>
          <w:tcPr>
            <w:tcW w:w="4984" w:type="dxa"/>
          </w:tcPr>
          <w:p>
            <w:pPr>
              <w:rPr>
                <w:rFonts w:hint="eastAsia" w:ascii="宋体" w:hAnsi="宋体" w:eastAsia="宋体" w:cs="宋体"/>
                <w:sz w:val="21"/>
                <w:szCs w:val="21"/>
              </w:rPr>
            </w:pPr>
            <w:r>
              <w:rPr>
                <w:rFonts w:hint="eastAsia" w:ascii="宋体" w:hAnsi="宋体" w:eastAsia="宋体" w:cs="宋体"/>
                <w:sz w:val="21"/>
                <w:szCs w:val="21"/>
              </w:rPr>
              <w:t>按照竞争性磋商文件要求足额交纳保证金。</w:t>
            </w:r>
          </w:p>
        </w:tc>
      </w:tr>
    </w:tbl>
    <w:p>
      <w:pPr>
        <w:snapToGrid w:val="0"/>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注：</w:t>
      </w:r>
    </w:p>
    <w:p>
      <w:pPr>
        <w:snapToGrid w:val="0"/>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eq \o\ac(○,</w:instrText>
      </w:r>
      <w:r>
        <w:rPr>
          <w:rFonts w:hint="eastAsia" w:ascii="宋体" w:hAnsi="宋体" w:eastAsia="宋体" w:cs="宋体"/>
          <w:kern w:val="0"/>
          <w:position w:val="3"/>
          <w:sz w:val="16"/>
          <w:szCs w:val="24"/>
        </w:rPr>
        <w:instrText xml:space="preserve">1</w:instrText>
      </w:r>
      <w:r>
        <w:rPr>
          <w:rFonts w:hint="eastAsia" w:ascii="宋体" w:hAnsi="宋体" w:eastAsia="宋体" w:cs="宋体"/>
          <w:kern w:val="0"/>
          <w:sz w:val="24"/>
          <w:szCs w:val="24"/>
        </w:rPr>
        <w:instrText xml:space="preserve">)</w:instrTex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根据《中华人民共和国政府采购法实施条例》第十九条“参加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2.符合性审查。依据竞争性磋商文件的规定，从响应文件的有效性、完整性和对竞争性磋商文件的响应程度进行审查，以确定是否对竞争性磋商文件的实质性要求作出响应。符合性审查资料表如下：</w:t>
      </w: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jc w:val="center"/>
              <w:rPr>
                <w:rFonts w:hint="eastAsia" w:ascii="宋体" w:hAnsi="宋体" w:eastAsia="宋体" w:cs="宋体"/>
                <w:b/>
                <w:kern w:val="0"/>
                <w:sz w:val="21"/>
                <w:szCs w:val="21"/>
              </w:rPr>
            </w:pPr>
            <w:r>
              <w:rPr>
                <w:rFonts w:hint="eastAsia" w:ascii="宋体" w:hAnsi="宋体" w:eastAsia="宋体" w:cs="宋体"/>
                <w:b/>
                <w:kern w:val="0"/>
                <w:sz w:val="21"/>
                <w:szCs w:val="21"/>
              </w:rPr>
              <w:t>序号</w:t>
            </w:r>
          </w:p>
        </w:tc>
        <w:tc>
          <w:tcPr>
            <w:tcW w:w="3544" w:type="dxa"/>
            <w:gridSpan w:val="2"/>
            <w:vAlign w:val="center"/>
          </w:tcPr>
          <w:p>
            <w:pPr>
              <w:jc w:val="center"/>
              <w:rPr>
                <w:rFonts w:hint="eastAsia" w:ascii="宋体" w:hAnsi="宋体" w:eastAsia="宋体" w:cs="宋体"/>
                <w:b/>
                <w:kern w:val="0"/>
                <w:sz w:val="21"/>
                <w:szCs w:val="21"/>
              </w:rPr>
            </w:pPr>
            <w:r>
              <w:rPr>
                <w:rFonts w:hint="eastAsia" w:ascii="宋体" w:hAnsi="宋体" w:eastAsia="宋体" w:cs="宋体"/>
                <w:b/>
                <w:kern w:val="0"/>
                <w:sz w:val="21"/>
                <w:szCs w:val="21"/>
              </w:rPr>
              <w:t>评审因素</w:t>
            </w:r>
          </w:p>
        </w:tc>
        <w:tc>
          <w:tcPr>
            <w:tcW w:w="5409" w:type="dxa"/>
            <w:vAlign w:val="center"/>
          </w:tcPr>
          <w:p>
            <w:pPr>
              <w:jc w:val="center"/>
              <w:rPr>
                <w:rFonts w:hint="eastAsia" w:ascii="宋体" w:hAnsi="宋体" w:eastAsia="宋体" w:cs="宋体"/>
                <w:b/>
                <w:kern w:val="0"/>
                <w:sz w:val="21"/>
                <w:szCs w:val="21"/>
              </w:rPr>
            </w:pPr>
            <w:r>
              <w:rPr>
                <w:rFonts w:hint="eastAsia" w:ascii="宋体" w:hAnsi="宋体" w:eastAsia="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560" w:type="dxa"/>
            <w:vMerge w:val="restart"/>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有效性审查</w:t>
            </w:r>
          </w:p>
        </w:tc>
        <w:tc>
          <w:tcPr>
            <w:tcW w:w="1984" w:type="dxa"/>
            <w:vAlign w:val="center"/>
          </w:tcPr>
          <w:p>
            <w:pPr>
              <w:rPr>
                <w:rFonts w:hint="eastAsia" w:ascii="宋体" w:hAnsi="宋体" w:eastAsia="宋体" w:cs="宋体"/>
                <w:kern w:val="0"/>
                <w:sz w:val="21"/>
                <w:szCs w:val="21"/>
              </w:rPr>
            </w:pPr>
            <w:r>
              <w:rPr>
                <w:rFonts w:hint="eastAsia" w:ascii="宋体" w:hAnsi="宋体" w:eastAsia="宋体" w:cs="宋体"/>
                <w:sz w:val="21"/>
                <w:szCs w:val="21"/>
              </w:rPr>
              <w:t>响应文件签署或盖章</w:t>
            </w:r>
          </w:p>
        </w:tc>
        <w:tc>
          <w:tcPr>
            <w:tcW w:w="5409" w:type="dxa"/>
            <w:vAlign w:val="center"/>
          </w:tcPr>
          <w:p>
            <w:pPr>
              <w:rPr>
                <w:rFonts w:hint="eastAsia" w:ascii="宋体" w:hAnsi="宋体" w:eastAsia="宋体" w:cs="宋体"/>
                <w:kern w:val="0"/>
                <w:sz w:val="21"/>
                <w:szCs w:val="21"/>
              </w:rPr>
            </w:pPr>
            <w:r>
              <w:rPr>
                <w:rFonts w:hint="eastAsia" w:ascii="宋体" w:hAnsi="宋体" w:eastAsia="宋体" w:cs="宋体"/>
                <w:sz w:val="21"/>
                <w:szCs w:val="21"/>
              </w:rPr>
              <w:t>按竞争性磋商文件“第七篇响应文件编制要求”要求签署或盖章。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jc w:val="center"/>
              <w:rPr>
                <w:rFonts w:hint="eastAsia" w:ascii="宋体" w:hAnsi="宋体" w:eastAsia="宋体" w:cs="宋体"/>
                <w:kern w:val="0"/>
                <w:sz w:val="21"/>
                <w:szCs w:val="21"/>
              </w:rPr>
            </w:pPr>
          </w:p>
        </w:tc>
        <w:tc>
          <w:tcPr>
            <w:tcW w:w="1560" w:type="dxa"/>
            <w:vMerge w:val="continue"/>
            <w:vAlign w:val="center"/>
          </w:tcPr>
          <w:p>
            <w:pPr>
              <w:rPr>
                <w:rFonts w:hint="eastAsia" w:ascii="宋体" w:hAnsi="宋体" w:eastAsia="宋体" w:cs="宋体"/>
                <w:kern w:val="0"/>
                <w:sz w:val="21"/>
                <w:szCs w:val="21"/>
              </w:rPr>
            </w:pPr>
          </w:p>
        </w:tc>
        <w:tc>
          <w:tcPr>
            <w:tcW w:w="1984" w:type="dxa"/>
            <w:vAlign w:val="center"/>
          </w:tcPr>
          <w:p>
            <w:pPr>
              <w:rPr>
                <w:rFonts w:hint="eastAsia" w:ascii="宋体" w:hAnsi="宋体" w:eastAsia="宋体" w:cs="宋体"/>
                <w:sz w:val="21"/>
                <w:szCs w:val="21"/>
              </w:rPr>
            </w:pPr>
            <w:r>
              <w:rPr>
                <w:rFonts w:hint="eastAsia" w:ascii="宋体" w:hAnsi="宋体" w:eastAsia="宋体" w:cs="宋体"/>
                <w:sz w:val="21"/>
                <w:szCs w:val="21"/>
              </w:rPr>
              <w:t>法定代表人身份证明及授权委托书</w:t>
            </w:r>
          </w:p>
        </w:tc>
        <w:tc>
          <w:tcPr>
            <w:tcW w:w="5409" w:type="dxa"/>
            <w:vAlign w:val="center"/>
          </w:tcPr>
          <w:p>
            <w:pPr>
              <w:rPr>
                <w:rFonts w:hint="eastAsia" w:ascii="宋体" w:hAnsi="宋体" w:eastAsia="宋体" w:cs="宋体"/>
                <w:sz w:val="21"/>
                <w:szCs w:val="21"/>
              </w:rPr>
            </w:pPr>
            <w:r>
              <w:rPr>
                <w:rFonts w:hint="eastAsia" w:ascii="宋体" w:hAnsi="宋体" w:eastAsia="宋体" w:cs="宋体"/>
                <w:sz w:val="21"/>
                <w:szCs w:val="21"/>
              </w:rPr>
              <w:t>法定代表人身份证明及授权委托书有效，符合竞争性磋商文件规定的格式，签署或盖章齐全。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jc w:val="center"/>
              <w:rPr>
                <w:rFonts w:hint="eastAsia" w:ascii="宋体" w:hAnsi="宋体" w:eastAsia="宋体" w:cs="宋体"/>
                <w:kern w:val="0"/>
                <w:sz w:val="21"/>
                <w:szCs w:val="21"/>
              </w:rPr>
            </w:pPr>
          </w:p>
        </w:tc>
        <w:tc>
          <w:tcPr>
            <w:tcW w:w="1560" w:type="dxa"/>
            <w:vMerge w:val="continue"/>
            <w:vAlign w:val="center"/>
          </w:tcPr>
          <w:p>
            <w:pPr>
              <w:rPr>
                <w:rFonts w:hint="eastAsia" w:ascii="宋体" w:hAnsi="宋体" w:eastAsia="宋体" w:cs="宋体"/>
                <w:kern w:val="0"/>
                <w:sz w:val="21"/>
                <w:szCs w:val="21"/>
              </w:rPr>
            </w:pPr>
          </w:p>
        </w:tc>
        <w:tc>
          <w:tcPr>
            <w:tcW w:w="1984" w:type="dxa"/>
            <w:vAlign w:val="center"/>
          </w:tcPr>
          <w:p>
            <w:pPr>
              <w:rPr>
                <w:rFonts w:hint="eastAsia" w:ascii="宋体" w:hAnsi="宋体" w:eastAsia="宋体" w:cs="宋体"/>
                <w:sz w:val="21"/>
                <w:szCs w:val="21"/>
                <w:lang w:val="zh-CN"/>
              </w:rPr>
            </w:pPr>
            <w:r>
              <w:rPr>
                <w:rFonts w:hint="eastAsia" w:ascii="宋体" w:hAnsi="宋体" w:eastAsia="宋体" w:cs="宋体"/>
                <w:sz w:val="21"/>
                <w:szCs w:val="21"/>
              </w:rPr>
              <w:t>响应</w:t>
            </w:r>
            <w:r>
              <w:rPr>
                <w:rFonts w:hint="eastAsia" w:ascii="宋体" w:hAnsi="宋体" w:eastAsia="宋体" w:cs="宋体"/>
                <w:sz w:val="21"/>
                <w:szCs w:val="21"/>
                <w:lang w:val="zh-CN"/>
              </w:rPr>
              <w:t>方案</w:t>
            </w:r>
          </w:p>
        </w:tc>
        <w:tc>
          <w:tcPr>
            <w:tcW w:w="5409" w:type="dxa"/>
            <w:vAlign w:val="center"/>
          </w:tcPr>
          <w:p>
            <w:pPr>
              <w:rPr>
                <w:rFonts w:hint="eastAsia" w:ascii="宋体" w:hAnsi="宋体" w:eastAsia="宋体" w:cs="宋体"/>
                <w:kern w:val="0"/>
                <w:sz w:val="21"/>
                <w:szCs w:val="21"/>
              </w:rPr>
            </w:pPr>
            <w:r>
              <w:rPr>
                <w:rFonts w:hint="eastAsia" w:ascii="宋体" w:hAnsi="宋体" w:eastAsia="宋体" w:cs="宋体"/>
                <w:sz w:val="21"/>
                <w:szCs w:val="21"/>
                <w:lang w:val="zh-CN"/>
              </w:rPr>
              <w:t>每个包只能有一个</w:t>
            </w:r>
            <w:r>
              <w:rPr>
                <w:rFonts w:hint="eastAsia" w:ascii="宋体" w:hAnsi="宋体" w:eastAsia="宋体" w:cs="宋体"/>
                <w:sz w:val="21"/>
                <w:szCs w:val="21"/>
              </w:rPr>
              <w:t>响应</w:t>
            </w:r>
            <w:r>
              <w:rPr>
                <w:rFonts w:hint="eastAsia" w:ascii="宋体" w:hAnsi="宋体" w:eastAsia="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jc w:val="center"/>
              <w:rPr>
                <w:rFonts w:hint="eastAsia" w:ascii="宋体" w:hAnsi="宋体" w:eastAsia="宋体" w:cs="宋体"/>
                <w:kern w:val="0"/>
                <w:sz w:val="21"/>
                <w:szCs w:val="21"/>
              </w:rPr>
            </w:pPr>
          </w:p>
        </w:tc>
        <w:tc>
          <w:tcPr>
            <w:tcW w:w="1560" w:type="dxa"/>
            <w:vMerge w:val="continue"/>
            <w:vAlign w:val="center"/>
          </w:tcPr>
          <w:p>
            <w:pPr>
              <w:rPr>
                <w:rFonts w:hint="eastAsia" w:ascii="宋体" w:hAnsi="宋体" w:eastAsia="宋体" w:cs="宋体"/>
                <w:kern w:val="0"/>
                <w:sz w:val="21"/>
                <w:szCs w:val="21"/>
              </w:rPr>
            </w:pPr>
          </w:p>
        </w:tc>
        <w:tc>
          <w:tcPr>
            <w:tcW w:w="1984" w:type="dxa"/>
            <w:vAlign w:val="center"/>
          </w:tcPr>
          <w:p>
            <w:pPr>
              <w:rPr>
                <w:rFonts w:hint="eastAsia" w:ascii="宋体" w:hAnsi="宋体" w:eastAsia="宋体" w:cs="宋体"/>
                <w:sz w:val="21"/>
                <w:szCs w:val="21"/>
                <w:lang w:val="zh-CN"/>
              </w:rPr>
            </w:pPr>
            <w:r>
              <w:rPr>
                <w:rFonts w:hint="eastAsia" w:ascii="宋体" w:hAnsi="宋体" w:eastAsia="宋体" w:cs="宋体"/>
                <w:sz w:val="21"/>
                <w:szCs w:val="21"/>
              </w:rPr>
              <w:t>报价唯一</w:t>
            </w:r>
          </w:p>
        </w:tc>
        <w:tc>
          <w:tcPr>
            <w:tcW w:w="5409" w:type="dxa"/>
            <w:vAlign w:val="center"/>
          </w:tcPr>
          <w:p>
            <w:pPr>
              <w:rPr>
                <w:rFonts w:hint="eastAsia" w:ascii="宋体" w:hAnsi="宋体" w:eastAsia="宋体" w:cs="宋体"/>
                <w:kern w:val="0"/>
                <w:sz w:val="21"/>
                <w:szCs w:val="21"/>
              </w:rPr>
            </w:pPr>
            <w:r>
              <w:rPr>
                <w:rFonts w:hint="eastAsia" w:ascii="宋体" w:hAnsi="宋体" w:eastAsia="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560"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完整性审查</w:t>
            </w:r>
          </w:p>
        </w:tc>
        <w:tc>
          <w:tcPr>
            <w:tcW w:w="1984" w:type="dxa"/>
            <w:vAlign w:val="center"/>
          </w:tcPr>
          <w:p>
            <w:pPr>
              <w:rPr>
                <w:rFonts w:hint="eastAsia" w:ascii="宋体" w:hAnsi="宋体" w:eastAsia="宋体" w:cs="宋体"/>
                <w:kern w:val="0"/>
                <w:sz w:val="21"/>
                <w:szCs w:val="21"/>
              </w:rPr>
            </w:pPr>
            <w:r>
              <w:rPr>
                <w:rFonts w:hint="eastAsia" w:ascii="宋体" w:hAnsi="宋体" w:eastAsia="宋体" w:cs="宋体"/>
                <w:sz w:val="21"/>
                <w:szCs w:val="21"/>
              </w:rPr>
              <w:t>响应</w:t>
            </w:r>
            <w:r>
              <w:rPr>
                <w:rFonts w:hint="eastAsia" w:ascii="宋体" w:hAnsi="宋体" w:eastAsia="宋体" w:cs="宋体"/>
                <w:sz w:val="21"/>
                <w:szCs w:val="21"/>
                <w:lang w:val="zh-CN"/>
              </w:rPr>
              <w:t>文件份数</w:t>
            </w:r>
          </w:p>
        </w:tc>
        <w:tc>
          <w:tcPr>
            <w:tcW w:w="5409" w:type="dxa"/>
            <w:vAlign w:val="center"/>
          </w:tcPr>
          <w:p>
            <w:pPr>
              <w:rPr>
                <w:rFonts w:hint="eastAsia" w:ascii="宋体" w:hAnsi="宋体" w:eastAsia="宋体" w:cs="宋体"/>
                <w:kern w:val="0"/>
                <w:sz w:val="21"/>
                <w:szCs w:val="21"/>
              </w:rPr>
            </w:pPr>
            <w:r>
              <w:rPr>
                <w:rFonts w:hint="eastAsia" w:ascii="宋体" w:hAnsi="宋体" w:eastAsia="宋体" w:cs="宋体"/>
                <w:sz w:val="21"/>
                <w:szCs w:val="21"/>
              </w:rPr>
              <w:t>响应</w:t>
            </w:r>
            <w:r>
              <w:rPr>
                <w:rFonts w:hint="eastAsia" w:ascii="宋体" w:hAnsi="宋体" w:eastAsia="宋体" w:cs="宋体"/>
                <w:sz w:val="21"/>
                <w:szCs w:val="21"/>
                <w:lang w:val="zh-CN"/>
              </w:rPr>
              <w:t>文件正、副本数量（含电子文档）符合</w:t>
            </w:r>
            <w:r>
              <w:rPr>
                <w:rFonts w:hint="eastAsia" w:ascii="宋体" w:hAnsi="宋体" w:eastAsia="宋体" w:cs="宋体"/>
                <w:sz w:val="21"/>
                <w:szCs w:val="21"/>
              </w:rPr>
              <w:t>竞争性磋商</w:t>
            </w:r>
            <w:r>
              <w:rPr>
                <w:rFonts w:hint="eastAsia" w:ascii="宋体" w:hAnsi="宋体" w:eastAsia="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560" w:type="dxa"/>
            <w:vMerge w:val="restart"/>
            <w:vAlign w:val="center"/>
          </w:tcPr>
          <w:p>
            <w:pPr>
              <w:rPr>
                <w:rFonts w:hint="eastAsia" w:ascii="宋体" w:hAnsi="宋体" w:eastAsia="宋体" w:cs="宋体"/>
                <w:sz w:val="21"/>
                <w:szCs w:val="21"/>
                <w:lang w:val="zh-CN"/>
              </w:rPr>
            </w:pPr>
            <w:r>
              <w:rPr>
                <w:rFonts w:hint="eastAsia" w:ascii="宋体" w:hAnsi="宋体" w:eastAsia="宋体" w:cs="宋体"/>
                <w:kern w:val="0"/>
                <w:sz w:val="21"/>
                <w:szCs w:val="21"/>
              </w:rPr>
              <w:t>响应程度审查</w:t>
            </w:r>
          </w:p>
        </w:tc>
        <w:tc>
          <w:tcPr>
            <w:tcW w:w="1984" w:type="dxa"/>
            <w:vAlign w:val="center"/>
          </w:tcPr>
          <w:p>
            <w:pPr>
              <w:rPr>
                <w:rFonts w:hint="eastAsia" w:ascii="宋体" w:hAnsi="宋体" w:eastAsia="宋体" w:cs="宋体"/>
                <w:kern w:val="0"/>
                <w:sz w:val="21"/>
                <w:szCs w:val="21"/>
              </w:rPr>
            </w:pPr>
            <w:r>
              <w:rPr>
                <w:rFonts w:hint="eastAsia" w:ascii="宋体" w:hAnsi="宋体" w:eastAsia="宋体" w:cs="宋体"/>
                <w:kern w:val="0"/>
                <w:sz w:val="21"/>
                <w:szCs w:val="21"/>
              </w:rPr>
              <w:t>实质性响应</w:t>
            </w:r>
          </w:p>
        </w:tc>
        <w:tc>
          <w:tcPr>
            <w:tcW w:w="5409" w:type="dxa"/>
            <w:vAlign w:val="center"/>
          </w:tcPr>
          <w:p>
            <w:pPr>
              <w:pStyle w:val="17"/>
              <w:rPr>
                <w:rFonts w:hint="eastAsia" w:ascii="宋体" w:hAnsi="宋体" w:eastAsia="宋体" w:cs="宋体"/>
                <w:kern w:val="0"/>
                <w:sz w:val="21"/>
                <w:szCs w:val="21"/>
              </w:rPr>
            </w:pPr>
            <w:r>
              <w:rPr>
                <w:rFonts w:hint="eastAsia" w:ascii="宋体" w:hAnsi="宋体" w:eastAsia="宋体" w:cs="宋体"/>
                <w:kern w:val="0"/>
                <w:sz w:val="21"/>
                <w:szCs w:val="21"/>
              </w:rPr>
              <w:t>竞争性磋商文件第二篇、第三篇“※”标注部分。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75" w:type="dxa"/>
            <w:vMerge w:val="continue"/>
            <w:vAlign w:val="center"/>
          </w:tcPr>
          <w:p>
            <w:pPr>
              <w:jc w:val="center"/>
              <w:rPr>
                <w:rFonts w:hint="eastAsia" w:ascii="宋体" w:hAnsi="宋体" w:eastAsia="宋体" w:cs="宋体"/>
                <w:kern w:val="0"/>
                <w:sz w:val="21"/>
                <w:szCs w:val="21"/>
              </w:rPr>
            </w:pPr>
          </w:p>
        </w:tc>
        <w:tc>
          <w:tcPr>
            <w:tcW w:w="1560" w:type="dxa"/>
            <w:vMerge w:val="continue"/>
            <w:vAlign w:val="center"/>
          </w:tcPr>
          <w:p>
            <w:pPr>
              <w:rPr>
                <w:rFonts w:hint="eastAsia" w:ascii="宋体" w:hAnsi="宋体" w:eastAsia="宋体" w:cs="宋体"/>
                <w:sz w:val="21"/>
                <w:szCs w:val="21"/>
                <w:lang w:val="zh-CN"/>
              </w:rPr>
            </w:pPr>
          </w:p>
        </w:tc>
        <w:tc>
          <w:tcPr>
            <w:tcW w:w="1984" w:type="dxa"/>
            <w:vAlign w:val="center"/>
          </w:tcPr>
          <w:p>
            <w:pPr>
              <w:rPr>
                <w:rFonts w:hint="eastAsia" w:ascii="宋体" w:hAnsi="宋体" w:eastAsia="宋体" w:cs="宋体"/>
                <w:b/>
                <w:bCs/>
                <w:kern w:val="0"/>
                <w:sz w:val="21"/>
                <w:szCs w:val="21"/>
              </w:rPr>
            </w:pPr>
            <w:r>
              <w:rPr>
                <w:rFonts w:hint="eastAsia" w:ascii="宋体" w:hAnsi="宋体" w:eastAsia="宋体" w:cs="宋体"/>
                <w:kern w:val="0"/>
                <w:sz w:val="21"/>
                <w:szCs w:val="21"/>
              </w:rPr>
              <w:t>磋商有效期</w:t>
            </w:r>
          </w:p>
        </w:tc>
        <w:tc>
          <w:tcPr>
            <w:tcW w:w="5409" w:type="dxa"/>
            <w:vAlign w:val="center"/>
          </w:tcPr>
          <w:p>
            <w:pPr>
              <w:rPr>
                <w:rFonts w:hint="eastAsia" w:ascii="宋体" w:hAnsi="宋体" w:eastAsia="宋体" w:cs="宋体"/>
                <w:b/>
                <w:bCs/>
                <w:kern w:val="0"/>
                <w:sz w:val="21"/>
                <w:szCs w:val="21"/>
              </w:rPr>
            </w:pPr>
            <w:r>
              <w:rPr>
                <w:rFonts w:hint="eastAsia" w:ascii="宋体" w:hAnsi="宋体" w:eastAsia="宋体" w:cs="宋体"/>
                <w:kern w:val="0"/>
                <w:sz w:val="21"/>
                <w:szCs w:val="21"/>
              </w:rPr>
              <w:t>响应文件及有关承诺文件有效期为提交响应文件截止时间起90天。</w:t>
            </w:r>
          </w:p>
        </w:tc>
      </w:tr>
    </w:tbl>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根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磋商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（五）在磋商过程中磋商的任何一方不得向他人透露与磋商有关的服务资料、价格或其他信息。</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（七）供应商在磋商时作出的所有书面承诺须由法定代表人（或其授权代表）或自然人（供应商为自然人）签署。</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八）经磋商确定最终采购需求且磋商结束后，供应商应当按照竞争性磋商文件的变动情况和磋商小组的要求重新提交响应文件或重新做出相关的书面承诺，最后书面提交最后报价及有关承诺（《最后报价表》在磋商现场向供应商提供）。已提交响应文件但未在规定时间内进行最后报价的供应商，视为放弃最后报价，以供应商响应文件中的报价为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（九）磋商小组采用综合评分法对提交最后报价的供应商的响应文件和最后报价（含有效书面承诺）进行综合评分。</w:t>
      </w:r>
      <w:r>
        <w:rPr>
          <w:rFonts w:hint="eastAsia" w:ascii="宋体" w:hAnsi="宋体" w:eastAsia="宋体" w:cs="宋体"/>
          <w:kern w:val="0"/>
          <w:sz w:val="24"/>
          <w:szCs w:val="24"/>
        </w:rPr>
        <w:t>综合评分法，是指响应文件满足竞争性磋商文件全部实质性要求且按照评审因素的量化指标评审得分最高的供应商为成交候选供应商的评审方法。供应商总得分为服务、商务等评定因素分别按照相应权重值计算分项得分后相加，满分为100分</w:t>
      </w:r>
      <w:r>
        <w:rPr>
          <w:rFonts w:hint="eastAsia" w:ascii="宋体" w:hAnsi="宋体" w:eastAsia="宋体" w:cs="宋体"/>
          <w:sz w:val="24"/>
          <w:szCs w:val="24"/>
        </w:rPr>
        <w:t>。</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（十）磋商小组各成员独立对每个有效响应（通过资格性审查、</w:t>
      </w:r>
      <w:r>
        <w:rPr>
          <w:rFonts w:hint="eastAsia" w:ascii="宋体" w:hAnsi="宋体" w:eastAsia="宋体" w:cs="宋体"/>
          <w:kern w:val="0"/>
          <w:sz w:val="24"/>
          <w:szCs w:val="24"/>
        </w:rPr>
        <w:t>符合性审查的供应商</w:t>
      </w:r>
      <w:r>
        <w:rPr>
          <w:rFonts w:hint="eastAsia" w:ascii="宋体" w:hAnsi="宋体" w:eastAsia="宋体" w:cs="宋体"/>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w:t>
      </w:r>
    </w:p>
    <w:p>
      <w:pPr>
        <w:pStyle w:val="2"/>
        <w:numPr>
          <w:ilvl w:val="1"/>
          <w:numId w:val="0"/>
        </w:numPr>
        <w:adjustRightInd w:val="0"/>
        <w:snapToGrid w:val="0"/>
        <w:spacing w:line="400" w:lineRule="exact"/>
        <w:rPr>
          <w:rFonts w:hint="eastAsia" w:ascii="宋体" w:hAnsi="宋体" w:eastAsia="宋体" w:cs="宋体"/>
          <w:b/>
          <w:bCs w:val="0"/>
          <w:sz w:val="24"/>
        </w:rPr>
      </w:pPr>
      <w:bookmarkStart w:id="156" w:name="_Toc76462334"/>
      <w:bookmarkStart w:id="157" w:name="_Toc22015"/>
      <w:bookmarkStart w:id="158" w:name="_Toc29135"/>
      <w:bookmarkStart w:id="159" w:name="_Toc22744"/>
      <w:bookmarkStart w:id="160" w:name="_Toc106030889"/>
      <w:bookmarkStart w:id="161" w:name="_Toc3799"/>
      <w:bookmarkStart w:id="162" w:name="_Toc25329"/>
      <w:r>
        <w:rPr>
          <w:rFonts w:hint="eastAsia" w:ascii="宋体" w:hAnsi="宋体" w:eastAsia="宋体" w:cs="宋体"/>
          <w:b/>
          <w:bCs w:val="0"/>
          <w:sz w:val="24"/>
        </w:rPr>
        <w:t>二、</w:t>
      </w:r>
      <w:bookmarkStart w:id="163" w:name="_Toc342913394"/>
      <w:bookmarkStart w:id="164" w:name="_Toc102227320"/>
      <w:r>
        <w:rPr>
          <w:rFonts w:hint="eastAsia" w:ascii="宋体" w:hAnsi="宋体" w:eastAsia="宋体" w:cs="宋体"/>
          <w:b/>
          <w:bCs w:val="0"/>
          <w:sz w:val="24"/>
        </w:rPr>
        <w:t>评审标准</w:t>
      </w:r>
      <w:bookmarkEnd w:id="156"/>
      <w:bookmarkEnd w:id="157"/>
      <w:bookmarkEnd w:id="158"/>
      <w:bookmarkEnd w:id="159"/>
      <w:bookmarkEnd w:id="160"/>
      <w:bookmarkEnd w:id="161"/>
      <w:bookmarkEnd w:id="162"/>
    </w:p>
    <w:tbl>
      <w:tblPr>
        <w:tblStyle w:val="28"/>
        <w:tblW w:w="97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433"/>
        <w:gridCol w:w="823"/>
        <w:gridCol w:w="4162"/>
        <w:gridCol w:w="2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 w:type="dxa"/>
            <w:vAlign w:val="center"/>
          </w:tcPr>
          <w:p>
            <w:pPr>
              <w:ind w:firstLine="28"/>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1433" w:type="dxa"/>
            <w:vAlign w:val="center"/>
          </w:tcPr>
          <w:p>
            <w:pPr>
              <w:ind w:firstLine="28"/>
              <w:jc w:val="center"/>
              <w:rPr>
                <w:rFonts w:hint="eastAsia" w:ascii="宋体" w:hAnsi="宋体" w:eastAsia="宋体" w:cs="宋体"/>
                <w:b/>
                <w:sz w:val="24"/>
                <w:szCs w:val="24"/>
              </w:rPr>
            </w:pPr>
            <w:r>
              <w:rPr>
                <w:rFonts w:hint="eastAsia" w:ascii="宋体" w:hAnsi="宋体" w:eastAsia="宋体" w:cs="宋体"/>
                <w:b/>
                <w:sz w:val="24"/>
                <w:szCs w:val="24"/>
              </w:rPr>
              <w:t>评分因素及权值</w:t>
            </w:r>
          </w:p>
        </w:tc>
        <w:tc>
          <w:tcPr>
            <w:tcW w:w="823" w:type="dxa"/>
            <w:vAlign w:val="center"/>
          </w:tcPr>
          <w:p>
            <w:pPr>
              <w:ind w:firstLine="28"/>
              <w:jc w:val="center"/>
              <w:rPr>
                <w:rFonts w:hint="eastAsia" w:ascii="宋体" w:hAnsi="宋体" w:eastAsia="宋体" w:cs="宋体"/>
                <w:b/>
                <w:sz w:val="24"/>
                <w:szCs w:val="24"/>
              </w:rPr>
            </w:pPr>
            <w:r>
              <w:rPr>
                <w:rFonts w:hint="eastAsia" w:ascii="宋体" w:hAnsi="宋体" w:eastAsia="宋体" w:cs="宋体"/>
                <w:b/>
                <w:sz w:val="24"/>
                <w:szCs w:val="24"/>
              </w:rPr>
              <w:t>分值</w:t>
            </w:r>
          </w:p>
        </w:tc>
        <w:tc>
          <w:tcPr>
            <w:tcW w:w="4162" w:type="dxa"/>
            <w:vAlign w:val="center"/>
          </w:tcPr>
          <w:p>
            <w:pPr>
              <w:ind w:firstLine="28"/>
              <w:jc w:val="center"/>
              <w:rPr>
                <w:rFonts w:hint="eastAsia" w:ascii="宋体" w:hAnsi="宋体" w:eastAsia="宋体" w:cs="宋体"/>
                <w:b/>
                <w:sz w:val="24"/>
                <w:szCs w:val="24"/>
              </w:rPr>
            </w:pPr>
            <w:r>
              <w:rPr>
                <w:rFonts w:hint="eastAsia" w:ascii="宋体" w:hAnsi="宋体" w:eastAsia="宋体" w:cs="宋体"/>
                <w:b/>
                <w:sz w:val="24"/>
                <w:szCs w:val="24"/>
              </w:rPr>
              <w:t>评分标准</w:t>
            </w:r>
          </w:p>
        </w:tc>
        <w:tc>
          <w:tcPr>
            <w:tcW w:w="2483" w:type="dxa"/>
            <w:vAlign w:val="center"/>
          </w:tcPr>
          <w:p>
            <w:pPr>
              <w:pStyle w:val="44"/>
              <w:spacing w:line="240" w:lineRule="auto"/>
              <w:rPr>
                <w:rFonts w:hint="eastAsia" w:ascii="宋体" w:hAnsi="宋体" w:eastAsia="宋体" w:cs="宋体"/>
                <w:szCs w:val="24"/>
              </w:rPr>
            </w:pPr>
            <w:r>
              <w:rPr>
                <w:rFonts w:hint="eastAsia" w:ascii="宋体" w:hAnsi="宋体" w:eastAsia="宋体" w:cs="宋体"/>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835" w:type="dxa"/>
            <w:vAlign w:val="center"/>
          </w:tcPr>
          <w:p>
            <w:pPr>
              <w:ind w:firstLine="28"/>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433" w:type="dxa"/>
            <w:vAlign w:val="center"/>
          </w:tcPr>
          <w:p>
            <w:pPr>
              <w:ind w:firstLine="28"/>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磋商报价</w:t>
            </w:r>
          </w:p>
          <w:p>
            <w:pPr>
              <w:ind w:firstLine="28"/>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0%）</w:t>
            </w:r>
          </w:p>
        </w:tc>
        <w:tc>
          <w:tcPr>
            <w:tcW w:w="823" w:type="dxa"/>
            <w:tcBorders>
              <w:bottom w:val="single" w:color="auto" w:sz="4" w:space="0"/>
            </w:tcBorders>
            <w:vAlign w:val="center"/>
          </w:tcPr>
          <w:p>
            <w:pPr>
              <w:ind w:firstLine="28"/>
              <w:jc w:val="center"/>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0分</w:t>
            </w:r>
          </w:p>
        </w:tc>
        <w:tc>
          <w:tcPr>
            <w:tcW w:w="4162" w:type="dxa"/>
            <w:tcBorders>
              <w:bottom w:val="single" w:color="auto" w:sz="4" w:space="0"/>
            </w:tcBorders>
            <w:vAlign w:val="center"/>
          </w:tcPr>
          <w:p>
            <w:pPr>
              <w:ind w:firstLine="28"/>
              <w:rPr>
                <w:rFonts w:hint="eastAsia" w:ascii="宋体" w:hAnsi="宋体" w:eastAsia="宋体" w:cs="宋体"/>
                <w:bCs/>
                <w:sz w:val="24"/>
                <w:szCs w:val="24"/>
              </w:rPr>
            </w:pPr>
            <w:r>
              <w:rPr>
                <w:rFonts w:hint="eastAsia" w:ascii="宋体" w:hAnsi="宋体" w:eastAsia="宋体" w:cs="宋体"/>
                <w:bCs/>
                <w:sz w:val="24"/>
                <w:szCs w:val="24"/>
              </w:rPr>
              <w:t>满足资格性、符合性要求且最后报价最低的供应商的价格为磋商基准价，其价格分为满分。其他供应商的价格分统一按照下列公式计算：</w:t>
            </w:r>
          </w:p>
          <w:p>
            <w:pPr>
              <w:ind w:firstLine="28"/>
              <w:rPr>
                <w:rFonts w:hint="eastAsia" w:ascii="宋体" w:hAnsi="宋体" w:eastAsia="宋体" w:cs="宋体"/>
                <w:bCs/>
                <w:sz w:val="24"/>
                <w:szCs w:val="24"/>
              </w:rPr>
            </w:pPr>
            <w:r>
              <w:rPr>
                <w:rFonts w:hint="eastAsia" w:ascii="宋体" w:hAnsi="宋体" w:eastAsia="宋体" w:cs="宋体"/>
                <w:bCs/>
                <w:sz w:val="24"/>
                <w:szCs w:val="24"/>
              </w:rPr>
              <w:t>磋商报价得分=（磋商基准价/最后磋商报价）×价格权值×100（按四舍五入法保留小数点后两位）</w:t>
            </w:r>
          </w:p>
        </w:tc>
        <w:tc>
          <w:tcPr>
            <w:tcW w:w="2483" w:type="dxa"/>
            <w:vAlign w:val="center"/>
          </w:tcPr>
          <w:p>
            <w:pPr>
              <w:ind w:firstLine="28"/>
              <w:jc w:val="center"/>
              <w:rPr>
                <w:rFonts w:hint="eastAsia" w:ascii="宋体" w:hAnsi="宋体" w:eastAsia="宋体" w:cs="宋体"/>
                <w:bCs/>
                <w:sz w:val="24"/>
                <w:szCs w:val="24"/>
              </w:rPr>
            </w:pPr>
            <w:r>
              <w:rPr>
                <w:rFonts w:hint="eastAsia" w:ascii="宋体" w:hAnsi="宋体" w:eastAsia="宋体" w:cs="宋体"/>
                <w:b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9736" w:type="dxa"/>
            <w:gridSpan w:val="5"/>
            <w:vAlign w:val="center"/>
          </w:tcPr>
          <w:p>
            <w:pPr>
              <w:rPr>
                <w:rFonts w:hint="eastAsia" w:ascii="宋体" w:hAnsi="宋体" w:eastAsia="宋体" w:cs="宋体"/>
                <w:bCs/>
                <w:sz w:val="24"/>
                <w:szCs w:val="24"/>
              </w:rPr>
            </w:pPr>
            <w:r>
              <w:rPr>
                <w:rFonts w:hint="eastAsia" w:ascii="宋体" w:hAnsi="宋体" w:eastAsia="宋体" w:cs="宋体"/>
                <w:bCs/>
                <w:sz w:val="24"/>
                <w:szCs w:val="24"/>
              </w:rPr>
              <w:t>供应商的应答应满足竞争性磋商文件“第二篇 项目服务需求”，有一条不满足的（第二篇中“※”号标注的部分除外），服务部分得分为0分，不再进入服务部分的评审。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835" w:type="dxa"/>
            <w:vMerge w:val="restart"/>
            <w:vAlign w:val="center"/>
          </w:tcPr>
          <w:p>
            <w:pPr>
              <w:ind w:firstLine="28"/>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1433" w:type="dxa"/>
            <w:vMerge w:val="restart"/>
            <w:vAlign w:val="center"/>
          </w:tcPr>
          <w:p>
            <w:pPr>
              <w:ind w:firstLine="28"/>
              <w:jc w:val="center"/>
              <w:rPr>
                <w:rFonts w:hint="eastAsia" w:ascii="宋体" w:hAnsi="宋体" w:eastAsia="宋体" w:cs="宋体"/>
                <w:bCs/>
                <w:sz w:val="24"/>
                <w:szCs w:val="24"/>
              </w:rPr>
            </w:pPr>
            <w:r>
              <w:rPr>
                <w:rFonts w:hint="eastAsia" w:ascii="宋体" w:hAnsi="宋体" w:eastAsia="宋体" w:cs="宋体"/>
                <w:bCs/>
                <w:sz w:val="24"/>
                <w:szCs w:val="24"/>
              </w:rPr>
              <w:t>服务部分</w:t>
            </w:r>
          </w:p>
          <w:p>
            <w:pPr>
              <w:ind w:firstLine="28"/>
              <w:jc w:val="center"/>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cs="宋体"/>
                <w:bCs/>
                <w:sz w:val="24"/>
                <w:szCs w:val="24"/>
                <w:lang w:val="en-US" w:eastAsia="zh-CN"/>
              </w:rPr>
              <w:t>60</w:t>
            </w:r>
            <w:r>
              <w:rPr>
                <w:rFonts w:hint="eastAsia" w:ascii="宋体" w:hAnsi="宋体" w:eastAsia="宋体" w:cs="宋体"/>
                <w:bCs/>
                <w:sz w:val="24"/>
                <w:szCs w:val="24"/>
              </w:rPr>
              <w:t>%）</w:t>
            </w:r>
          </w:p>
        </w:tc>
        <w:tc>
          <w:tcPr>
            <w:tcW w:w="823" w:type="dxa"/>
            <w:tcBorders>
              <w:bottom w:val="single" w:color="auto" w:sz="4" w:space="0"/>
            </w:tcBorders>
            <w:vAlign w:val="center"/>
          </w:tcPr>
          <w:p>
            <w:pPr>
              <w:ind w:firstLine="28"/>
              <w:jc w:val="center"/>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20分</w:t>
            </w:r>
          </w:p>
        </w:tc>
        <w:tc>
          <w:tcPr>
            <w:tcW w:w="4162" w:type="dxa"/>
            <w:tcBorders>
              <w:bottom w:val="single" w:color="auto" w:sz="4" w:space="0"/>
            </w:tcBorders>
            <w:vAlign w:val="center"/>
          </w:tcPr>
          <w:p>
            <w:pPr>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根据</w:t>
            </w:r>
            <w:r>
              <w:rPr>
                <w:rFonts w:hint="eastAsia" w:ascii="宋体" w:hAnsi="宋体" w:eastAsia="宋体" w:cs="宋体"/>
                <w:bCs/>
                <w:color w:val="auto"/>
                <w:sz w:val="24"/>
                <w:szCs w:val="24"/>
              </w:rPr>
              <w:t>供应商针对本项目提供</w:t>
            </w:r>
            <w:r>
              <w:rPr>
                <w:rFonts w:hint="eastAsia" w:ascii="宋体" w:hAnsi="宋体" w:eastAsia="宋体" w:cs="宋体"/>
                <w:bCs/>
                <w:color w:val="auto"/>
                <w:sz w:val="24"/>
                <w:szCs w:val="24"/>
                <w:lang w:eastAsia="zh-CN"/>
              </w:rPr>
              <w:t>的文创产品搭配方案进行评审</w:t>
            </w:r>
            <w:r>
              <w:rPr>
                <w:rFonts w:hint="eastAsia" w:ascii="宋体" w:hAnsi="宋体" w:eastAsia="宋体" w:cs="宋体"/>
                <w:bCs/>
                <w:color w:val="auto"/>
                <w:sz w:val="24"/>
                <w:szCs w:val="24"/>
              </w:rPr>
              <w:t>。内容非常完整、非常合理、非常科学</w:t>
            </w:r>
            <w:r>
              <w:rPr>
                <w:rFonts w:hint="eastAsia" w:ascii="宋体" w:hAnsi="宋体" w:eastAsia="宋体" w:cs="宋体"/>
                <w:bCs/>
                <w:color w:val="auto"/>
                <w:sz w:val="24"/>
                <w:szCs w:val="24"/>
                <w:lang w:eastAsia="zh-CN"/>
              </w:rPr>
              <w:t>、针对性强</w:t>
            </w:r>
            <w:r>
              <w:rPr>
                <w:rFonts w:hint="eastAsia" w:ascii="宋体" w:hAnsi="宋体" w:eastAsia="宋体" w:cs="宋体"/>
                <w:bCs/>
                <w:color w:val="auto"/>
                <w:sz w:val="24"/>
                <w:szCs w:val="24"/>
              </w:rPr>
              <w:t>的得</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0分；内容较完整、较合理、较科学</w:t>
            </w:r>
            <w:r>
              <w:rPr>
                <w:rFonts w:hint="eastAsia" w:ascii="宋体" w:hAnsi="宋体" w:eastAsia="宋体" w:cs="宋体"/>
                <w:bCs/>
                <w:color w:val="auto"/>
                <w:sz w:val="24"/>
                <w:szCs w:val="24"/>
                <w:lang w:eastAsia="zh-CN"/>
              </w:rPr>
              <w:t>、针对性较强</w:t>
            </w:r>
            <w:r>
              <w:rPr>
                <w:rFonts w:hint="eastAsia" w:ascii="宋体" w:hAnsi="宋体" w:eastAsia="宋体" w:cs="宋体"/>
                <w:bCs/>
                <w:color w:val="auto"/>
                <w:sz w:val="24"/>
                <w:szCs w:val="24"/>
              </w:rPr>
              <w:t>的得</w:t>
            </w:r>
            <w:r>
              <w:rPr>
                <w:rFonts w:hint="eastAsia" w:ascii="宋体" w:hAnsi="宋体" w:eastAsia="宋体" w:cs="宋体"/>
                <w:bCs/>
                <w:color w:val="auto"/>
                <w:sz w:val="24"/>
                <w:szCs w:val="24"/>
                <w:lang w:val="en-US" w:eastAsia="zh-CN"/>
              </w:rPr>
              <w:t>15</w:t>
            </w:r>
            <w:r>
              <w:rPr>
                <w:rFonts w:hint="eastAsia" w:ascii="宋体" w:hAnsi="宋体" w:eastAsia="宋体" w:cs="宋体"/>
                <w:bCs/>
                <w:color w:val="auto"/>
                <w:sz w:val="24"/>
                <w:szCs w:val="24"/>
              </w:rPr>
              <w:t>分；内容不够完整、不够合理、不够科学</w:t>
            </w:r>
            <w:r>
              <w:rPr>
                <w:rFonts w:hint="eastAsia" w:ascii="宋体" w:hAnsi="宋体" w:eastAsia="宋体" w:cs="宋体"/>
                <w:bCs/>
                <w:color w:val="auto"/>
                <w:sz w:val="24"/>
                <w:szCs w:val="24"/>
                <w:lang w:eastAsia="zh-CN"/>
              </w:rPr>
              <w:t>、针对性不够强</w:t>
            </w:r>
            <w:r>
              <w:rPr>
                <w:rFonts w:hint="eastAsia" w:ascii="宋体" w:hAnsi="宋体" w:eastAsia="宋体" w:cs="宋体"/>
                <w:bCs/>
                <w:color w:val="auto"/>
                <w:sz w:val="24"/>
                <w:szCs w:val="24"/>
              </w:rPr>
              <w:t>的得1</w:t>
            </w:r>
            <w:r>
              <w:rPr>
                <w:rFonts w:hint="eastAsia" w:ascii="宋体" w:hAnsi="宋体" w:eastAsia="宋体" w:cs="宋体"/>
                <w:bCs/>
                <w:color w:val="auto"/>
                <w:sz w:val="24"/>
                <w:szCs w:val="24"/>
                <w:lang w:val="en-US" w:eastAsia="zh-CN"/>
              </w:rPr>
              <w:t>0</w:t>
            </w:r>
            <w:r>
              <w:rPr>
                <w:rFonts w:hint="eastAsia" w:ascii="宋体" w:hAnsi="宋体" w:eastAsia="宋体" w:cs="宋体"/>
                <w:bCs/>
                <w:color w:val="auto"/>
                <w:sz w:val="24"/>
                <w:szCs w:val="24"/>
              </w:rPr>
              <w:t>分；内容有欠缺的得</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分；未提供不得分。</w:t>
            </w:r>
          </w:p>
        </w:tc>
        <w:tc>
          <w:tcPr>
            <w:tcW w:w="2483" w:type="dxa"/>
            <w:vMerge w:val="restart"/>
            <w:vAlign w:val="center"/>
          </w:tcPr>
          <w:p>
            <w:pPr>
              <w:ind w:firstLine="28"/>
              <w:rPr>
                <w:rFonts w:hint="eastAsia" w:ascii="宋体" w:hAnsi="宋体" w:eastAsia="宋体" w:cs="宋体"/>
                <w:bCs/>
                <w:sz w:val="24"/>
                <w:szCs w:val="24"/>
              </w:rPr>
            </w:pPr>
            <w:r>
              <w:rPr>
                <w:rFonts w:hint="eastAsia" w:ascii="宋体" w:hAnsi="宋体" w:eastAsia="宋体" w:cs="宋体"/>
                <w:bCs/>
                <w:sz w:val="24"/>
                <w:szCs w:val="24"/>
              </w:rPr>
              <w:t>提供书面方案进行评审。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 w:type="dxa"/>
            <w:vMerge w:val="continue"/>
            <w:vAlign w:val="center"/>
          </w:tcPr>
          <w:p>
            <w:pPr>
              <w:ind w:firstLine="28"/>
              <w:jc w:val="center"/>
              <w:rPr>
                <w:rFonts w:hint="eastAsia" w:ascii="宋体" w:hAnsi="宋体" w:eastAsia="宋体" w:cs="宋体"/>
                <w:bCs/>
                <w:sz w:val="24"/>
                <w:szCs w:val="24"/>
              </w:rPr>
            </w:pPr>
          </w:p>
        </w:tc>
        <w:tc>
          <w:tcPr>
            <w:tcW w:w="1433" w:type="dxa"/>
            <w:vMerge w:val="continue"/>
            <w:vAlign w:val="center"/>
          </w:tcPr>
          <w:p>
            <w:pPr>
              <w:ind w:firstLine="28"/>
              <w:jc w:val="center"/>
              <w:rPr>
                <w:rFonts w:hint="eastAsia" w:ascii="宋体" w:hAnsi="宋体" w:eastAsia="宋体" w:cs="宋体"/>
                <w:bCs/>
                <w:sz w:val="24"/>
                <w:szCs w:val="24"/>
              </w:rPr>
            </w:pPr>
          </w:p>
        </w:tc>
        <w:tc>
          <w:tcPr>
            <w:tcW w:w="823" w:type="dxa"/>
            <w:tcBorders>
              <w:bottom w:val="single" w:color="auto" w:sz="4" w:space="0"/>
            </w:tcBorders>
            <w:vAlign w:val="center"/>
          </w:tcPr>
          <w:p>
            <w:pPr>
              <w:ind w:firstLine="28"/>
              <w:jc w:val="center"/>
              <w:rPr>
                <w:rFonts w:hint="default" w:ascii="宋体" w:hAnsi="宋体" w:cs="宋体"/>
                <w:bCs/>
                <w:color w:val="auto"/>
                <w:sz w:val="24"/>
                <w:szCs w:val="24"/>
                <w:lang w:val="en-US" w:eastAsia="zh-CN"/>
              </w:rPr>
            </w:pPr>
            <w:r>
              <w:rPr>
                <w:rFonts w:hint="eastAsia" w:ascii="宋体" w:hAnsi="宋体" w:cs="宋体"/>
                <w:bCs/>
                <w:color w:val="auto"/>
                <w:sz w:val="24"/>
                <w:szCs w:val="24"/>
                <w:lang w:val="en-US" w:eastAsia="zh-CN"/>
              </w:rPr>
              <w:t>20分</w:t>
            </w:r>
          </w:p>
        </w:tc>
        <w:tc>
          <w:tcPr>
            <w:tcW w:w="4162" w:type="dxa"/>
            <w:tcBorders>
              <w:bottom w:val="single" w:color="auto" w:sz="4" w:space="0"/>
            </w:tcBorders>
            <w:vAlign w:val="center"/>
          </w:tcPr>
          <w:p>
            <w:pPr>
              <w:rPr>
                <w:rFonts w:hint="eastAsia" w:ascii="仿宋" w:hAnsi="仿宋" w:eastAsia="仿宋" w:cs="仿宋"/>
                <w:color w:val="auto"/>
                <w:sz w:val="24"/>
                <w:szCs w:val="24"/>
              </w:rPr>
            </w:pPr>
            <w:r>
              <w:rPr>
                <w:rFonts w:hint="eastAsia" w:ascii="宋体" w:hAnsi="宋体" w:eastAsia="宋体" w:cs="宋体"/>
                <w:bCs/>
                <w:color w:val="auto"/>
                <w:sz w:val="24"/>
                <w:szCs w:val="24"/>
              </w:rPr>
              <w:t>供应商针对本项目提供</w:t>
            </w:r>
            <w:r>
              <w:rPr>
                <w:rFonts w:hint="eastAsia" w:ascii="宋体" w:hAnsi="宋体" w:eastAsia="宋体" w:cs="宋体"/>
                <w:bCs/>
                <w:color w:val="auto"/>
                <w:sz w:val="24"/>
                <w:szCs w:val="24"/>
                <w:lang w:eastAsia="zh-CN"/>
              </w:rPr>
              <w:t>所有文创产品（含</w:t>
            </w:r>
            <w:r>
              <w:rPr>
                <w:rFonts w:hint="eastAsia" w:ascii="宋体" w:hAnsi="宋体" w:eastAsia="宋体" w:cs="宋体"/>
                <w:color w:val="auto"/>
                <w:sz w:val="24"/>
                <w:szCs w:val="24"/>
                <w:lang w:val="en-US" w:eastAsia="zh-CN"/>
              </w:rPr>
              <w:t>U盘</w:t>
            </w:r>
            <w:r>
              <w:rPr>
                <w:rFonts w:hint="eastAsia" w:ascii="宋体" w:hAnsi="宋体" w:cs="宋体"/>
                <w:color w:val="auto"/>
                <w:sz w:val="24"/>
                <w:szCs w:val="24"/>
                <w:lang w:val="en-US" w:eastAsia="zh-CN"/>
              </w:rPr>
              <w:t>及供应商自行搭配的其他定制文创产品）</w:t>
            </w:r>
            <w:r>
              <w:rPr>
                <w:rFonts w:hint="eastAsia" w:ascii="宋体" w:hAnsi="宋体" w:eastAsia="宋体" w:cs="宋体"/>
                <w:bCs/>
                <w:color w:val="auto"/>
                <w:sz w:val="24"/>
                <w:szCs w:val="24"/>
                <w:lang w:eastAsia="zh-CN"/>
              </w:rPr>
              <w:t>的</w:t>
            </w:r>
            <w:r>
              <w:rPr>
                <w:rFonts w:hint="eastAsia" w:ascii="宋体" w:hAnsi="宋体" w:eastAsia="宋体" w:cs="宋体"/>
                <w:bCs/>
                <w:color w:val="auto"/>
                <w:sz w:val="24"/>
                <w:szCs w:val="24"/>
              </w:rPr>
              <w:t>设计方案。内容非常完整、非常合理、非常科学</w:t>
            </w:r>
            <w:r>
              <w:rPr>
                <w:rFonts w:hint="eastAsia" w:ascii="宋体" w:hAnsi="宋体" w:eastAsia="宋体" w:cs="宋体"/>
                <w:bCs/>
                <w:color w:val="auto"/>
                <w:sz w:val="24"/>
                <w:szCs w:val="24"/>
                <w:lang w:eastAsia="zh-CN"/>
              </w:rPr>
              <w:t>、针对性强</w:t>
            </w:r>
            <w:r>
              <w:rPr>
                <w:rFonts w:hint="eastAsia" w:ascii="宋体" w:hAnsi="宋体" w:eastAsia="宋体" w:cs="宋体"/>
                <w:bCs/>
                <w:color w:val="auto"/>
                <w:sz w:val="24"/>
                <w:szCs w:val="24"/>
              </w:rPr>
              <w:t>的得</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0分；内容较完整、较合理、较科学</w:t>
            </w:r>
            <w:r>
              <w:rPr>
                <w:rFonts w:hint="eastAsia" w:ascii="宋体" w:hAnsi="宋体" w:eastAsia="宋体" w:cs="宋体"/>
                <w:bCs/>
                <w:color w:val="auto"/>
                <w:sz w:val="24"/>
                <w:szCs w:val="24"/>
                <w:lang w:eastAsia="zh-CN"/>
              </w:rPr>
              <w:t>、针对性较强</w:t>
            </w:r>
            <w:r>
              <w:rPr>
                <w:rFonts w:hint="eastAsia" w:ascii="宋体" w:hAnsi="宋体" w:eastAsia="宋体" w:cs="宋体"/>
                <w:bCs/>
                <w:color w:val="auto"/>
                <w:sz w:val="24"/>
                <w:szCs w:val="24"/>
              </w:rPr>
              <w:t>的得</w:t>
            </w:r>
            <w:r>
              <w:rPr>
                <w:rFonts w:hint="eastAsia" w:ascii="宋体" w:hAnsi="宋体" w:eastAsia="宋体" w:cs="宋体"/>
                <w:bCs/>
                <w:color w:val="auto"/>
                <w:sz w:val="24"/>
                <w:szCs w:val="24"/>
                <w:lang w:val="en-US" w:eastAsia="zh-CN"/>
              </w:rPr>
              <w:t>15</w:t>
            </w:r>
            <w:r>
              <w:rPr>
                <w:rFonts w:hint="eastAsia" w:ascii="宋体" w:hAnsi="宋体" w:eastAsia="宋体" w:cs="宋体"/>
                <w:bCs/>
                <w:color w:val="auto"/>
                <w:sz w:val="24"/>
                <w:szCs w:val="24"/>
              </w:rPr>
              <w:t>分；内容不够完整、不够合理、不够科学</w:t>
            </w:r>
            <w:r>
              <w:rPr>
                <w:rFonts w:hint="eastAsia" w:ascii="宋体" w:hAnsi="宋体" w:eastAsia="宋体" w:cs="宋体"/>
                <w:bCs/>
                <w:color w:val="auto"/>
                <w:sz w:val="24"/>
                <w:szCs w:val="24"/>
                <w:lang w:eastAsia="zh-CN"/>
              </w:rPr>
              <w:t>、针对性不够强</w:t>
            </w:r>
            <w:r>
              <w:rPr>
                <w:rFonts w:hint="eastAsia" w:ascii="宋体" w:hAnsi="宋体" w:eastAsia="宋体" w:cs="宋体"/>
                <w:bCs/>
                <w:color w:val="auto"/>
                <w:sz w:val="24"/>
                <w:szCs w:val="24"/>
              </w:rPr>
              <w:t>的得1</w:t>
            </w:r>
            <w:r>
              <w:rPr>
                <w:rFonts w:hint="eastAsia" w:ascii="宋体" w:hAnsi="宋体" w:eastAsia="宋体" w:cs="宋体"/>
                <w:bCs/>
                <w:color w:val="auto"/>
                <w:sz w:val="24"/>
                <w:szCs w:val="24"/>
                <w:lang w:val="en-US" w:eastAsia="zh-CN"/>
              </w:rPr>
              <w:t>0</w:t>
            </w:r>
            <w:r>
              <w:rPr>
                <w:rFonts w:hint="eastAsia" w:ascii="宋体" w:hAnsi="宋体" w:eastAsia="宋体" w:cs="宋体"/>
                <w:bCs/>
                <w:color w:val="auto"/>
                <w:sz w:val="24"/>
                <w:szCs w:val="24"/>
              </w:rPr>
              <w:t>分；内容有欠缺的得</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分；未提供不得分。</w:t>
            </w:r>
          </w:p>
        </w:tc>
        <w:tc>
          <w:tcPr>
            <w:tcW w:w="2483" w:type="dxa"/>
            <w:vMerge w:val="continue"/>
            <w:vAlign w:val="center"/>
          </w:tcPr>
          <w:p>
            <w:pPr>
              <w:ind w:firstLine="28"/>
              <w:rPr>
                <w:rFonts w:hint="eastAsia" w:ascii="宋体" w:hAnsi="宋体" w:eastAsia="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5" w:type="dxa"/>
            <w:vMerge w:val="continue"/>
            <w:vAlign w:val="center"/>
          </w:tcPr>
          <w:p>
            <w:pPr>
              <w:ind w:firstLine="28"/>
              <w:jc w:val="center"/>
              <w:rPr>
                <w:rFonts w:hint="eastAsia" w:ascii="宋体" w:hAnsi="宋体" w:eastAsia="宋体" w:cs="宋体"/>
                <w:bCs/>
                <w:sz w:val="24"/>
                <w:szCs w:val="24"/>
              </w:rPr>
            </w:pPr>
          </w:p>
        </w:tc>
        <w:tc>
          <w:tcPr>
            <w:tcW w:w="1433" w:type="dxa"/>
            <w:vMerge w:val="continue"/>
            <w:vAlign w:val="center"/>
          </w:tcPr>
          <w:p>
            <w:pPr>
              <w:ind w:firstLine="28"/>
              <w:jc w:val="center"/>
              <w:rPr>
                <w:rFonts w:hint="eastAsia" w:ascii="宋体" w:hAnsi="宋体" w:eastAsia="宋体" w:cs="宋体"/>
                <w:bCs/>
                <w:sz w:val="24"/>
                <w:szCs w:val="24"/>
              </w:rPr>
            </w:pPr>
          </w:p>
        </w:tc>
        <w:tc>
          <w:tcPr>
            <w:tcW w:w="823" w:type="dxa"/>
            <w:tcBorders>
              <w:bottom w:val="single" w:color="auto" w:sz="4" w:space="0"/>
            </w:tcBorders>
            <w:vAlign w:val="center"/>
          </w:tcPr>
          <w:p>
            <w:pPr>
              <w:ind w:firstLine="28"/>
              <w:jc w:val="center"/>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20分</w:t>
            </w:r>
          </w:p>
        </w:tc>
        <w:tc>
          <w:tcPr>
            <w:tcW w:w="4162" w:type="dxa"/>
            <w:tcBorders>
              <w:bottom w:val="single" w:color="auto" w:sz="4" w:space="0"/>
            </w:tcBorders>
            <w:vAlign w:val="center"/>
          </w:tcPr>
          <w:p>
            <w:pPr>
              <w:rPr>
                <w:rFonts w:hint="eastAsia" w:ascii="宋体" w:hAnsi="宋体" w:eastAsia="宋体" w:cs="宋体"/>
                <w:bCs/>
                <w:color w:val="auto"/>
                <w:sz w:val="24"/>
                <w:szCs w:val="24"/>
              </w:rPr>
            </w:pPr>
            <w:r>
              <w:rPr>
                <w:rFonts w:hint="eastAsia" w:ascii="宋体" w:hAnsi="宋体" w:eastAsia="宋体" w:cs="宋体"/>
                <w:bCs/>
                <w:color w:val="auto"/>
                <w:sz w:val="24"/>
                <w:szCs w:val="24"/>
              </w:rPr>
              <w:t>供应商针对本项目提供</w:t>
            </w:r>
            <w:r>
              <w:rPr>
                <w:rFonts w:hint="eastAsia" w:ascii="宋体" w:hAnsi="宋体" w:eastAsia="宋体" w:cs="宋体"/>
                <w:bCs/>
                <w:color w:val="auto"/>
                <w:sz w:val="24"/>
                <w:szCs w:val="24"/>
                <w:lang w:eastAsia="zh-CN"/>
              </w:rPr>
              <w:t>所有文创产品（含</w:t>
            </w:r>
            <w:r>
              <w:rPr>
                <w:rFonts w:hint="eastAsia" w:ascii="宋体" w:hAnsi="宋体" w:eastAsia="宋体" w:cs="宋体"/>
                <w:color w:val="auto"/>
                <w:sz w:val="24"/>
                <w:szCs w:val="24"/>
                <w:lang w:val="en-US" w:eastAsia="zh-CN"/>
              </w:rPr>
              <w:t>U盘</w:t>
            </w:r>
            <w:r>
              <w:rPr>
                <w:rFonts w:hint="eastAsia" w:ascii="宋体" w:hAnsi="宋体" w:cs="宋体"/>
                <w:color w:val="auto"/>
                <w:sz w:val="24"/>
                <w:szCs w:val="24"/>
                <w:lang w:val="en-US" w:eastAsia="zh-CN"/>
              </w:rPr>
              <w:t>及供应商自行搭配的其他定制文创产品）的</w:t>
            </w:r>
            <w:r>
              <w:rPr>
                <w:rFonts w:hint="eastAsia" w:ascii="宋体" w:hAnsi="宋体" w:eastAsia="宋体" w:cs="宋体"/>
                <w:bCs/>
                <w:color w:val="auto"/>
                <w:sz w:val="24"/>
                <w:szCs w:val="24"/>
              </w:rPr>
              <w:t>设计效果图。内容非常完整、非常合理、非常科学</w:t>
            </w:r>
            <w:r>
              <w:rPr>
                <w:rFonts w:hint="eastAsia" w:ascii="宋体" w:hAnsi="宋体" w:eastAsia="宋体" w:cs="宋体"/>
                <w:bCs/>
                <w:color w:val="auto"/>
                <w:sz w:val="24"/>
                <w:szCs w:val="24"/>
                <w:lang w:eastAsia="zh-CN"/>
              </w:rPr>
              <w:t>、针对性强</w:t>
            </w:r>
            <w:r>
              <w:rPr>
                <w:rFonts w:hint="eastAsia" w:ascii="宋体" w:hAnsi="宋体" w:eastAsia="宋体" w:cs="宋体"/>
                <w:bCs/>
                <w:color w:val="auto"/>
                <w:sz w:val="24"/>
                <w:szCs w:val="24"/>
              </w:rPr>
              <w:t>的得</w:t>
            </w: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0分；内容较完整、较合理、较科学</w:t>
            </w:r>
            <w:r>
              <w:rPr>
                <w:rFonts w:hint="eastAsia" w:ascii="宋体" w:hAnsi="宋体" w:eastAsia="宋体" w:cs="宋体"/>
                <w:bCs/>
                <w:color w:val="auto"/>
                <w:sz w:val="24"/>
                <w:szCs w:val="24"/>
                <w:lang w:eastAsia="zh-CN"/>
              </w:rPr>
              <w:t>、针对性较强</w:t>
            </w:r>
            <w:r>
              <w:rPr>
                <w:rFonts w:hint="eastAsia" w:ascii="宋体" w:hAnsi="宋体" w:eastAsia="宋体" w:cs="宋体"/>
                <w:bCs/>
                <w:color w:val="auto"/>
                <w:sz w:val="24"/>
                <w:szCs w:val="24"/>
              </w:rPr>
              <w:t>的得</w:t>
            </w:r>
            <w:r>
              <w:rPr>
                <w:rFonts w:hint="eastAsia" w:ascii="宋体" w:hAnsi="宋体" w:eastAsia="宋体" w:cs="宋体"/>
                <w:bCs/>
                <w:color w:val="auto"/>
                <w:sz w:val="24"/>
                <w:szCs w:val="24"/>
                <w:lang w:val="en-US" w:eastAsia="zh-CN"/>
              </w:rPr>
              <w:t>15</w:t>
            </w:r>
            <w:r>
              <w:rPr>
                <w:rFonts w:hint="eastAsia" w:ascii="宋体" w:hAnsi="宋体" w:eastAsia="宋体" w:cs="宋体"/>
                <w:bCs/>
                <w:color w:val="auto"/>
                <w:sz w:val="24"/>
                <w:szCs w:val="24"/>
              </w:rPr>
              <w:t>分；内容不够完整、不够合理、不够科学</w:t>
            </w:r>
            <w:r>
              <w:rPr>
                <w:rFonts w:hint="eastAsia" w:ascii="宋体" w:hAnsi="宋体" w:eastAsia="宋体" w:cs="宋体"/>
                <w:bCs/>
                <w:color w:val="auto"/>
                <w:sz w:val="24"/>
                <w:szCs w:val="24"/>
                <w:lang w:eastAsia="zh-CN"/>
              </w:rPr>
              <w:t>、针对性不够强</w:t>
            </w:r>
            <w:r>
              <w:rPr>
                <w:rFonts w:hint="eastAsia" w:ascii="宋体" w:hAnsi="宋体" w:eastAsia="宋体" w:cs="宋体"/>
                <w:bCs/>
                <w:color w:val="auto"/>
                <w:sz w:val="24"/>
                <w:szCs w:val="24"/>
              </w:rPr>
              <w:t>的得1</w:t>
            </w:r>
            <w:r>
              <w:rPr>
                <w:rFonts w:hint="eastAsia" w:ascii="宋体" w:hAnsi="宋体" w:eastAsia="宋体" w:cs="宋体"/>
                <w:bCs/>
                <w:color w:val="auto"/>
                <w:sz w:val="24"/>
                <w:szCs w:val="24"/>
                <w:lang w:val="en-US" w:eastAsia="zh-CN"/>
              </w:rPr>
              <w:t>0</w:t>
            </w:r>
            <w:r>
              <w:rPr>
                <w:rFonts w:hint="eastAsia" w:ascii="宋体" w:hAnsi="宋体" w:eastAsia="宋体" w:cs="宋体"/>
                <w:bCs/>
                <w:color w:val="auto"/>
                <w:sz w:val="24"/>
                <w:szCs w:val="24"/>
              </w:rPr>
              <w:t>分；内容有欠缺的得</w:t>
            </w:r>
            <w:r>
              <w:rPr>
                <w:rFonts w:hint="eastAsia" w:ascii="宋体" w:hAnsi="宋体" w:eastAsia="宋体" w:cs="宋体"/>
                <w:bCs/>
                <w:color w:val="auto"/>
                <w:sz w:val="24"/>
                <w:szCs w:val="24"/>
                <w:lang w:val="en-US" w:eastAsia="zh-CN"/>
              </w:rPr>
              <w:t>5</w:t>
            </w:r>
            <w:r>
              <w:rPr>
                <w:rFonts w:hint="eastAsia" w:ascii="宋体" w:hAnsi="宋体" w:eastAsia="宋体" w:cs="宋体"/>
                <w:bCs/>
                <w:color w:val="auto"/>
                <w:sz w:val="24"/>
                <w:szCs w:val="24"/>
              </w:rPr>
              <w:t>分；未提供不得分。</w:t>
            </w:r>
          </w:p>
        </w:tc>
        <w:tc>
          <w:tcPr>
            <w:tcW w:w="2483" w:type="dxa"/>
            <w:vMerge w:val="continue"/>
            <w:vAlign w:val="center"/>
          </w:tcPr>
          <w:p>
            <w:pPr>
              <w:ind w:firstLine="28"/>
              <w:rPr>
                <w:rFonts w:hint="eastAsia" w:ascii="宋体" w:hAnsi="宋体" w:eastAsia="宋体" w:cs="宋体"/>
                <w:bCs/>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6" w:type="dxa"/>
            <w:gridSpan w:val="5"/>
            <w:tcBorders>
              <w:top w:val="single" w:color="auto" w:sz="4" w:space="0"/>
              <w:left w:val="single" w:color="auto" w:sz="4" w:space="0"/>
              <w:right w:val="single" w:color="auto" w:sz="4" w:space="0"/>
            </w:tcBorders>
            <w:vAlign w:val="center"/>
          </w:tcPr>
          <w:p>
            <w:pPr>
              <w:ind w:firstLine="28"/>
              <w:rPr>
                <w:rFonts w:hint="eastAsia" w:ascii="宋体" w:hAnsi="宋体" w:eastAsia="宋体" w:cs="宋体"/>
                <w:bCs/>
                <w:sz w:val="24"/>
                <w:szCs w:val="24"/>
              </w:rPr>
            </w:pPr>
            <w:r>
              <w:rPr>
                <w:rFonts w:hint="eastAsia" w:ascii="宋体" w:hAnsi="宋体" w:eastAsia="宋体" w:cs="宋体"/>
                <w:bCs/>
                <w:sz w:val="24"/>
                <w:szCs w:val="24"/>
              </w:rPr>
              <w:t>供应商的应答应满足竞争性磋商文件“第三篇 项目商务需求”，有一条不满足的（第三篇中“※”号标注的部分除外），商务部分得分为0分，不再进入商务部分的评审。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835" w:type="dxa"/>
            <w:tcBorders>
              <w:top w:val="single" w:color="auto" w:sz="4" w:space="0"/>
              <w:left w:val="single" w:color="auto" w:sz="4" w:space="0"/>
              <w:right w:val="single" w:color="auto" w:sz="4" w:space="0"/>
            </w:tcBorders>
            <w:vAlign w:val="center"/>
          </w:tcPr>
          <w:p>
            <w:pPr>
              <w:ind w:firstLine="28"/>
              <w:jc w:val="center"/>
              <w:rPr>
                <w:rFonts w:hint="eastAsia" w:ascii="宋体" w:hAnsi="宋体" w:eastAsia="宋体" w:cs="宋体"/>
                <w:bCs/>
                <w:sz w:val="24"/>
                <w:szCs w:val="24"/>
              </w:rPr>
            </w:pPr>
          </w:p>
          <w:p>
            <w:pPr>
              <w:ind w:firstLine="28"/>
              <w:jc w:val="center"/>
              <w:rPr>
                <w:rFonts w:hint="eastAsia" w:ascii="宋体" w:hAnsi="宋体" w:eastAsia="宋体" w:cs="宋体"/>
                <w:bCs/>
                <w:sz w:val="24"/>
                <w:szCs w:val="24"/>
              </w:rPr>
            </w:pPr>
            <w:r>
              <w:rPr>
                <w:rFonts w:hint="eastAsia" w:ascii="宋体" w:hAnsi="宋体" w:eastAsia="宋体" w:cs="宋体"/>
                <w:bCs/>
                <w:sz w:val="24"/>
                <w:szCs w:val="24"/>
              </w:rPr>
              <w:t>3</w:t>
            </w:r>
          </w:p>
          <w:p>
            <w:pPr>
              <w:ind w:firstLine="28"/>
              <w:jc w:val="center"/>
              <w:rPr>
                <w:rFonts w:hint="eastAsia" w:ascii="宋体" w:hAnsi="宋体" w:eastAsia="宋体" w:cs="宋体"/>
                <w:bCs/>
                <w:sz w:val="24"/>
                <w:szCs w:val="24"/>
              </w:rPr>
            </w:pPr>
          </w:p>
        </w:tc>
        <w:tc>
          <w:tcPr>
            <w:tcW w:w="1433" w:type="dxa"/>
            <w:tcBorders>
              <w:top w:val="single" w:color="auto" w:sz="4" w:space="0"/>
              <w:left w:val="single" w:color="auto" w:sz="4" w:space="0"/>
              <w:right w:val="single" w:color="auto" w:sz="4" w:space="0"/>
            </w:tcBorders>
            <w:vAlign w:val="center"/>
          </w:tcPr>
          <w:p>
            <w:pPr>
              <w:ind w:firstLine="28"/>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商务部分</w:t>
            </w:r>
          </w:p>
          <w:p>
            <w:pPr>
              <w:ind w:firstLine="28"/>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w:t>
            </w:r>
            <w:r>
              <w:rPr>
                <w:rFonts w:hint="eastAsia" w:ascii="宋体" w:hAnsi="宋体" w:cs="宋体"/>
                <w:bCs/>
                <w:color w:val="auto"/>
                <w:sz w:val="24"/>
                <w:szCs w:val="24"/>
                <w:lang w:val="en-US" w:eastAsia="zh-CN"/>
              </w:rPr>
              <w:t>20</w:t>
            </w:r>
            <w:r>
              <w:rPr>
                <w:rFonts w:hint="eastAsia" w:ascii="宋体" w:hAnsi="宋体" w:eastAsia="宋体" w:cs="宋体"/>
                <w:bCs/>
                <w:color w:val="auto"/>
                <w:sz w:val="24"/>
                <w:szCs w:val="24"/>
              </w:rPr>
              <w:t>%）</w:t>
            </w:r>
          </w:p>
        </w:tc>
        <w:tc>
          <w:tcPr>
            <w:tcW w:w="823" w:type="dxa"/>
            <w:tcBorders>
              <w:top w:val="single" w:color="auto" w:sz="4" w:space="0"/>
              <w:left w:val="single" w:color="auto" w:sz="4" w:space="0"/>
              <w:bottom w:val="single" w:color="auto" w:sz="4" w:space="0"/>
              <w:right w:val="single" w:color="auto" w:sz="4" w:space="0"/>
            </w:tcBorders>
            <w:vAlign w:val="center"/>
          </w:tcPr>
          <w:p>
            <w:pPr>
              <w:ind w:firstLine="28"/>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20分</w:t>
            </w:r>
          </w:p>
        </w:tc>
        <w:tc>
          <w:tcPr>
            <w:tcW w:w="416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color w:val="auto"/>
                <w:sz w:val="24"/>
                <w:szCs w:val="24"/>
              </w:rPr>
            </w:pPr>
            <w:r>
              <w:rPr>
                <w:rFonts w:hint="eastAsia" w:ascii="宋体" w:hAnsi="宋体" w:eastAsia="宋体" w:cs="宋体"/>
                <w:bCs/>
                <w:color w:val="auto"/>
                <w:sz w:val="24"/>
                <w:szCs w:val="24"/>
              </w:rPr>
              <w:t>供应商具有类似项目实施经验的，每提供一个合同得</w:t>
            </w: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分；本项最多得</w:t>
            </w: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0分；未提供不得分。</w:t>
            </w:r>
          </w:p>
        </w:tc>
        <w:tc>
          <w:tcPr>
            <w:tcW w:w="248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bCs/>
                <w:sz w:val="24"/>
                <w:szCs w:val="24"/>
                <w:lang w:val="zh-CN"/>
              </w:rPr>
            </w:pPr>
            <w:r>
              <w:rPr>
                <w:rFonts w:hint="eastAsia" w:ascii="宋体" w:hAnsi="宋体" w:eastAsia="宋体" w:cs="宋体"/>
                <w:bCs/>
                <w:sz w:val="24"/>
                <w:szCs w:val="24"/>
                <w:lang w:val="en-US" w:eastAsia="zh-CN"/>
              </w:rPr>
              <w:t>提供合同（协议）复印件并加盖供应商公章</w:t>
            </w:r>
            <w:r>
              <w:rPr>
                <w:rFonts w:hint="eastAsia" w:ascii="宋体" w:hAnsi="宋体" w:eastAsia="宋体" w:cs="宋体"/>
                <w:bCs/>
                <w:sz w:val="24"/>
                <w:szCs w:val="24"/>
              </w:rPr>
              <w:t>。</w:t>
            </w:r>
          </w:p>
        </w:tc>
      </w:tr>
    </w:tbl>
    <w:p>
      <w:pPr>
        <w:numPr>
          <w:ilvl w:val="1"/>
          <w:numId w:val="0"/>
        </w:numPr>
        <w:adjustRightInd w:val="0"/>
        <w:snapToGrid w:val="0"/>
        <w:spacing w:line="400" w:lineRule="exact"/>
        <w:ind w:firstLine="465"/>
        <w:rPr>
          <w:rFonts w:hint="eastAsia" w:ascii="宋体" w:hAnsi="宋体" w:eastAsia="宋体" w:cs="宋体"/>
          <w:sz w:val="24"/>
          <w:szCs w:val="24"/>
        </w:rPr>
      </w:pPr>
      <w:bookmarkStart w:id="165" w:name="_Toc76462335"/>
      <w:bookmarkStart w:id="166" w:name="_Toc27944"/>
      <w:bookmarkStart w:id="167" w:name="_Toc16319"/>
      <w:bookmarkStart w:id="168" w:name="_Toc106030890"/>
      <w:bookmarkStart w:id="169" w:name="_Toc22887"/>
      <w:r>
        <w:rPr>
          <w:rFonts w:hint="eastAsia" w:ascii="宋体" w:hAnsi="宋体" w:eastAsia="宋体" w:cs="宋体"/>
          <w:sz w:val="24"/>
          <w:szCs w:val="24"/>
        </w:rPr>
        <w:t>说明：磋商小组认为供应商的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响应处理。</w:t>
      </w:r>
    </w:p>
    <w:p>
      <w:pPr>
        <w:pStyle w:val="2"/>
        <w:numPr>
          <w:ilvl w:val="1"/>
          <w:numId w:val="0"/>
        </w:numPr>
        <w:adjustRightInd w:val="0"/>
        <w:snapToGrid w:val="0"/>
        <w:spacing w:line="400" w:lineRule="exact"/>
        <w:rPr>
          <w:rFonts w:hint="eastAsia" w:ascii="宋体" w:hAnsi="宋体" w:eastAsia="宋体" w:cs="宋体"/>
          <w:b/>
          <w:bCs w:val="0"/>
          <w:sz w:val="24"/>
        </w:rPr>
      </w:pPr>
      <w:bookmarkStart w:id="170" w:name="_Toc30217"/>
      <w:bookmarkStart w:id="171" w:name="_Toc7253"/>
      <w:r>
        <w:rPr>
          <w:rFonts w:hint="eastAsia" w:ascii="宋体" w:hAnsi="宋体" w:eastAsia="宋体" w:cs="宋体"/>
          <w:b/>
          <w:bCs w:val="0"/>
          <w:sz w:val="24"/>
        </w:rPr>
        <w:t>三、无效响应</w:t>
      </w:r>
      <w:bookmarkEnd w:id="165"/>
      <w:bookmarkEnd w:id="166"/>
      <w:bookmarkEnd w:id="167"/>
      <w:bookmarkEnd w:id="168"/>
      <w:bookmarkEnd w:id="169"/>
      <w:bookmarkEnd w:id="170"/>
      <w:bookmarkEnd w:id="171"/>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供应商发生以下条款情况之一者，视为无效响应，其响应文件将被拒绝：</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（一）供应商不符合规定的资格条件的；</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（二）供应商的法定代表人（或其授权代表）或自然人未参加磋商；</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（三）供应商未在保证金到账截止时间前足额交纳保证金的；</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（四）供应商所提交的响应文件不按“第七篇响应文件编制要求”要求签署或盖章；</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（五）供应商的最后报价超过采购预算或最高限价的；</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（六）法定代表人为同一个人的两个及两个以上法人，母公司、全资子公司及其控股公司，在同一包采购中同时参与磋商；</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（七）单位负责人为同一人或者存在直接控股、管理关系的不同供应商，参加同一合同项下的采购活动的；</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（八）为采购项目提供整体设计、规范编制或者项目管理、监理、检测等服务的供应商，再参加该采购项目的其他采购活动；</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（九）供应商磋商有效期不满足竞争性磋商文件要求的；</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（十）供应商响应文件内容有与国家现行法律法规相违背的内容，或附有采购人无法接受的条件；</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（十一）法律、法规和竞争性磋商文件规定的其他无效情形。</w:t>
      </w:r>
    </w:p>
    <w:p>
      <w:pPr>
        <w:pStyle w:val="2"/>
        <w:numPr>
          <w:ilvl w:val="1"/>
          <w:numId w:val="0"/>
        </w:numPr>
        <w:adjustRightInd w:val="0"/>
        <w:snapToGrid w:val="0"/>
        <w:spacing w:line="400" w:lineRule="exact"/>
        <w:rPr>
          <w:rFonts w:hint="eastAsia" w:ascii="宋体" w:hAnsi="宋体" w:eastAsia="宋体" w:cs="宋体"/>
          <w:b/>
          <w:bCs w:val="0"/>
          <w:sz w:val="24"/>
        </w:rPr>
      </w:pPr>
      <w:bookmarkStart w:id="172" w:name="_Toc1063"/>
      <w:bookmarkStart w:id="173" w:name="_Toc76462336"/>
      <w:bookmarkStart w:id="174" w:name="_Toc13735"/>
      <w:bookmarkStart w:id="175" w:name="_Toc3617"/>
      <w:bookmarkStart w:id="176" w:name="_Toc106030891"/>
      <w:bookmarkStart w:id="177" w:name="_Toc25630"/>
      <w:bookmarkStart w:id="178" w:name="_Toc13574"/>
      <w:r>
        <w:rPr>
          <w:rFonts w:hint="eastAsia" w:ascii="宋体" w:hAnsi="宋体" w:eastAsia="宋体" w:cs="宋体"/>
          <w:b/>
          <w:bCs w:val="0"/>
          <w:sz w:val="24"/>
        </w:rPr>
        <w:t>四、</w:t>
      </w:r>
      <w:bookmarkEnd w:id="163"/>
      <w:bookmarkEnd w:id="164"/>
      <w:r>
        <w:rPr>
          <w:rFonts w:hint="eastAsia" w:ascii="宋体" w:hAnsi="宋体" w:eastAsia="宋体" w:cs="宋体"/>
          <w:b/>
          <w:bCs w:val="0"/>
          <w:sz w:val="24"/>
        </w:rPr>
        <w:t>采购终止</w:t>
      </w:r>
      <w:bookmarkEnd w:id="172"/>
      <w:bookmarkEnd w:id="173"/>
      <w:bookmarkEnd w:id="174"/>
      <w:bookmarkEnd w:id="175"/>
      <w:bookmarkEnd w:id="176"/>
      <w:bookmarkEnd w:id="177"/>
      <w:bookmarkEnd w:id="178"/>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出现下列情形之一的，采购人或者采购代理机构应当终止竞争性磋商采购活动，发布项目终止公告并说明原因，重新开展采购活动：</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（一）因情况变化，不再符合规定的竞争性磋商采购方式适用情形的；</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（二）出现影响采购公正的违法、违规行为的；</w:t>
      </w:r>
    </w:p>
    <w:p>
      <w:pPr>
        <w:snapToGrid w:val="0"/>
        <w:spacing w:line="400" w:lineRule="exact"/>
        <w:ind w:firstLine="465"/>
        <w:rPr>
          <w:rFonts w:hint="eastAsia" w:ascii="宋体" w:hAnsi="宋体" w:eastAsia="宋体" w:cs="宋体"/>
          <w:sz w:val="24"/>
          <w:szCs w:val="24"/>
        </w:rPr>
      </w:pPr>
      <w:r>
        <w:rPr>
          <w:rFonts w:hint="eastAsia" w:ascii="宋体" w:hAnsi="宋体" w:eastAsia="宋体" w:cs="宋体"/>
          <w:sz w:val="24"/>
          <w:szCs w:val="24"/>
        </w:rPr>
        <w:t>（三）在采购过程中符合要求的供应商或者报价未超过采购预算的供应商不足3家的，但《政府采购竞争性磋商采购方式管理暂行办法》第二十一条第三款规定的情形除外。</w:t>
      </w:r>
    </w:p>
    <w:p>
      <w:pPr>
        <w:pStyle w:val="2"/>
        <w:pageBreakBefore/>
        <w:numPr>
          <w:ilvl w:val="1"/>
          <w:numId w:val="0"/>
        </w:numPr>
        <w:spacing w:line="360" w:lineRule="auto"/>
        <w:jc w:val="center"/>
        <w:rPr>
          <w:rFonts w:hint="eastAsia" w:ascii="宋体" w:hAnsi="宋体" w:eastAsia="宋体" w:cs="宋体"/>
          <w:sz w:val="36"/>
          <w:szCs w:val="30"/>
        </w:rPr>
      </w:pPr>
      <w:bookmarkStart w:id="179" w:name="_Toc6000"/>
      <w:bookmarkStart w:id="180" w:name="_Toc11218"/>
      <w:bookmarkStart w:id="181" w:name="_Toc106030892"/>
      <w:bookmarkStart w:id="182" w:name="_Toc16007"/>
      <w:bookmarkStart w:id="183" w:name="_Toc1323"/>
      <w:bookmarkStart w:id="184" w:name="_Toc17206"/>
      <w:bookmarkStart w:id="185" w:name="_Toc76462337"/>
      <w:bookmarkStart w:id="186" w:name="_Toc102227313"/>
      <w:r>
        <w:rPr>
          <w:rFonts w:hint="eastAsia" w:ascii="宋体" w:hAnsi="宋体" w:eastAsia="宋体" w:cs="宋体"/>
          <w:sz w:val="36"/>
          <w:szCs w:val="30"/>
        </w:rPr>
        <w:t>第五篇  供应商须知</w:t>
      </w:r>
      <w:bookmarkEnd w:id="179"/>
      <w:bookmarkEnd w:id="180"/>
      <w:bookmarkEnd w:id="181"/>
      <w:bookmarkEnd w:id="182"/>
      <w:bookmarkEnd w:id="183"/>
      <w:bookmarkEnd w:id="184"/>
      <w:bookmarkEnd w:id="185"/>
      <w:bookmarkEnd w:id="186"/>
    </w:p>
    <w:p>
      <w:pPr>
        <w:pStyle w:val="2"/>
        <w:numPr>
          <w:ilvl w:val="1"/>
          <w:numId w:val="0"/>
        </w:numPr>
        <w:adjustRightInd w:val="0"/>
        <w:snapToGrid w:val="0"/>
        <w:spacing w:line="400" w:lineRule="exact"/>
        <w:rPr>
          <w:rFonts w:hint="eastAsia" w:ascii="宋体" w:hAnsi="宋体" w:eastAsia="宋体" w:cs="宋体"/>
          <w:b/>
          <w:bCs w:val="0"/>
          <w:sz w:val="24"/>
        </w:rPr>
      </w:pPr>
      <w:bookmarkStart w:id="187" w:name="_Toc76462338"/>
      <w:bookmarkStart w:id="188" w:name="_Toc2845"/>
      <w:bookmarkStart w:id="189" w:name="_Toc30494"/>
      <w:bookmarkStart w:id="190" w:name="_Toc106030893"/>
      <w:bookmarkStart w:id="191" w:name="_Toc342913389"/>
      <w:bookmarkStart w:id="192" w:name="_Toc23654"/>
      <w:bookmarkStart w:id="193" w:name="_Toc6124"/>
      <w:bookmarkStart w:id="194" w:name="_Toc5729"/>
      <w:r>
        <w:rPr>
          <w:rFonts w:hint="eastAsia" w:ascii="宋体" w:hAnsi="宋体" w:eastAsia="宋体" w:cs="宋体"/>
          <w:b/>
          <w:bCs w:val="0"/>
          <w:sz w:val="24"/>
        </w:rPr>
        <w:t>一、磋商费用</w:t>
      </w:r>
      <w:bookmarkEnd w:id="187"/>
      <w:bookmarkEnd w:id="188"/>
      <w:bookmarkEnd w:id="189"/>
      <w:bookmarkEnd w:id="190"/>
      <w:bookmarkEnd w:id="191"/>
      <w:bookmarkEnd w:id="192"/>
      <w:bookmarkEnd w:id="193"/>
      <w:bookmarkEnd w:id="194"/>
    </w:p>
    <w:p>
      <w:pPr>
        <w:pStyle w:val="45"/>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参与磋商的供应商应承担其编制响应文件与递交响应文件所涉及的一切费用，不论磋商结果如何，采购人和采购代理机构在任何情况下无义务也无责任承担这些费用。</w:t>
      </w:r>
    </w:p>
    <w:p>
      <w:pPr>
        <w:pStyle w:val="2"/>
        <w:numPr>
          <w:ilvl w:val="1"/>
          <w:numId w:val="0"/>
        </w:numPr>
        <w:adjustRightInd w:val="0"/>
        <w:snapToGrid w:val="0"/>
        <w:spacing w:line="400" w:lineRule="exact"/>
        <w:rPr>
          <w:rFonts w:hint="eastAsia" w:ascii="宋体" w:hAnsi="宋体" w:eastAsia="宋体" w:cs="宋体"/>
          <w:b/>
          <w:bCs w:val="0"/>
          <w:sz w:val="24"/>
        </w:rPr>
      </w:pPr>
      <w:bookmarkStart w:id="195" w:name="_Toc31325"/>
      <w:bookmarkStart w:id="196" w:name="_Toc3616"/>
      <w:bookmarkStart w:id="197" w:name="_Toc11583"/>
      <w:bookmarkStart w:id="198" w:name="_Toc76462339"/>
      <w:bookmarkStart w:id="199" w:name="_Toc342913391"/>
      <w:bookmarkStart w:id="200" w:name="_Toc106030894"/>
      <w:bookmarkStart w:id="201" w:name="_Toc26129"/>
      <w:bookmarkStart w:id="202" w:name="_Toc8170"/>
      <w:r>
        <w:rPr>
          <w:rFonts w:hint="eastAsia" w:ascii="宋体" w:hAnsi="宋体" w:eastAsia="宋体" w:cs="宋体"/>
          <w:b/>
          <w:bCs w:val="0"/>
          <w:sz w:val="24"/>
        </w:rPr>
        <w:t>二、竞争性磋商文件</w:t>
      </w:r>
      <w:bookmarkEnd w:id="195"/>
      <w:bookmarkEnd w:id="196"/>
      <w:bookmarkEnd w:id="197"/>
      <w:bookmarkEnd w:id="198"/>
      <w:bookmarkEnd w:id="199"/>
      <w:bookmarkEnd w:id="200"/>
      <w:bookmarkEnd w:id="201"/>
      <w:bookmarkEnd w:id="202"/>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（一）竞争性磋商文件由采购邀请书、项目服务需求、项目商务需求、磋商程序及方法、评审标准、无效响应和采购终止、供应商须知</w:t>
      </w:r>
      <w:r>
        <w:rPr>
          <w:rFonts w:hint="eastAsia" w:ascii="宋体" w:hAnsi="宋体" w:eastAsia="宋体" w:cs="宋体"/>
          <w:b/>
          <w:sz w:val="24"/>
          <w:szCs w:val="24"/>
        </w:rPr>
        <w:t>、</w:t>
      </w:r>
      <w:r>
        <w:rPr>
          <w:rFonts w:hint="eastAsia" w:ascii="宋体" w:hAnsi="宋体" w:eastAsia="宋体" w:cs="宋体"/>
          <w:sz w:val="24"/>
          <w:szCs w:val="24"/>
        </w:rPr>
        <w:t>采购合同</w:t>
      </w:r>
      <w:r>
        <w:rPr>
          <w:rFonts w:hint="eastAsia" w:ascii="宋体" w:hAnsi="宋体" w:eastAsia="宋体" w:cs="宋体"/>
          <w:b/>
          <w:sz w:val="24"/>
          <w:szCs w:val="24"/>
        </w:rPr>
        <w:t>、</w:t>
      </w:r>
      <w:r>
        <w:rPr>
          <w:rFonts w:hint="eastAsia" w:ascii="宋体" w:hAnsi="宋体" w:eastAsia="宋体" w:cs="宋体"/>
          <w:sz w:val="24"/>
          <w:szCs w:val="24"/>
        </w:rPr>
        <w:t>响应文件编制要求七部分组成。</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（二）采购人（或采购代理机构）所作的一切有效的书面通知、修改及补充，都是竞争性磋商文件不可分割的部分。</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（三）竞争性磋商文件的解释</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203" w:name="_Toc318159780"/>
      <w:bookmarkStart w:id="204" w:name="_Toc318166429"/>
      <w:bookmarkStart w:id="205" w:name="_Toc318159349"/>
      <w:bookmarkStart w:id="206" w:name="_Toc318159160"/>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（四）本竞争性磋商文件中，磋商小组根据与供应商进行磋商可能实质性变动的内容为竞争性磋商文件第二、三、六篇全部内容。</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（五）评审的依据为竞争性磋商文件和响应文件（含有效的书面承诺）。磋商小组判断响应文件对竞争性磋商文件的响应，仅基于响应文件本身而不靠外部证据。</w:t>
      </w:r>
    </w:p>
    <w:bookmarkEnd w:id="203"/>
    <w:bookmarkEnd w:id="204"/>
    <w:bookmarkEnd w:id="205"/>
    <w:bookmarkEnd w:id="206"/>
    <w:p>
      <w:pPr>
        <w:pStyle w:val="2"/>
        <w:numPr>
          <w:ilvl w:val="1"/>
          <w:numId w:val="0"/>
        </w:numPr>
        <w:adjustRightInd w:val="0"/>
        <w:snapToGrid w:val="0"/>
        <w:spacing w:line="400" w:lineRule="exact"/>
        <w:rPr>
          <w:rFonts w:hint="eastAsia" w:ascii="宋体" w:hAnsi="宋体" w:eastAsia="宋体" w:cs="宋体"/>
          <w:b/>
          <w:bCs w:val="0"/>
          <w:sz w:val="24"/>
        </w:rPr>
      </w:pPr>
      <w:bookmarkStart w:id="207" w:name="_Toc12693"/>
      <w:bookmarkStart w:id="208" w:name="_Toc5211"/>
      <w:bookmarkStart w:id="209" w:name="_Toc106030895"/>
      <w:bookmarkStart w:id="210" w:name="_Toc342913392"/>
      <w:bookmarkStart w:id="211" w:name="_Toc102227318"/>
      <w:bookmarkStart w:id="212" w:name="_Toc18703"/>
      <w:bookmarkStart w:id="213" w:name="_Toc13367"/>
      <w:bookmarkStart w:id="214" w:name="_Toc76462340"/>
      <w:bookmarkStart w:id="215" w:name="_Toc179714297"/>
      <w:bookmarkStart w:id="216" w:name="_Toc29539"/>
      <w:r>
        <w:rPr>
          <w:rFonts w:hint="eastAsia" w:ascii="宋体" w:hAnsi="宋体" w:eastAsia="宋体" w:cs="宋体"/>
          <w:b/>
          <w:bCs w:val="0"/>
          <w:sz w:val="24"/>
        </w:rPr>
        <w:t>三、磋商要求</w:t>
      </w:r>
      <w:bookmarkEnd w:id="207"/>
      <w:bookmarkEnd w:id="208"/>
      <w:bookmarkEnd w:id="209"/>
      <w:bookmarkEnd w:id="210"/>
      <w:bookmarkEnd w:id="211"/>
      <w:bookmarkEnd w:id="212"/>
      <w:bookmarkEnd w:id="213"/>
      <w:bookmarkEnd w:id="214"/>
      <w:bookmarkEnd w:id="215"/>
      <w:bookmarkEnd w:id="216"/>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（一）响应文件</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2.响应文件组成</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（二）磋商有效期：响应文件及有关承诺文件有效期为提交响应文件截止时间起90天。</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（三）保证金：</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1.供应商提交保证金金额和方式详见“第一篇  五、保证金”；</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2.发生以下情况之一者，保证金不予退还：</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2.1供应商在提交响应文件截止时间后撤回响应文件的；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2.2供应商在响应文件中提供虚假材料的；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2.3除因不可抗力或竞争性磋商文件认可的情形以外，成交供应商不与采购人签订合同的；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2.4供应商与采购人、其他供应商或者采购代理机构恶意串通的。</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（四）修正错误</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1.若供应商所递交的响应文件或最后报价中的价格出现大写金额和小写金额不一致的错误，以大写金额修正为准。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（五）提交响应文件的份数和签署</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rPr>
        <w:t>响应文件按竞争性磋商文件“第七篇响应文件编制要求”要求签署或盖章。</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（六）响应文件的递交</w:t>
      </w:r>
    </w:p>
    <w:p>
      <w:pPr>
        <w:pStyle w:val="16"/>
        <w:spacing w:line="400" w:lineRule="exact"/>
        <w:ind w:firstLine="480" w:firstLineChars="200"/>
        <w:rPr>
          <w:rFonts w:hint="eastAsia" w:ascii="宋体" w:hAnsi="宋体" w:eastAsia="宋体" w:cs="宋体"/>
          <w:sz w:val="24"/>
        </w:rPr>
      </w:pPr>
      <w:r>
        <w:rPr>
          <w:rFonts w:hint="eastAsia" w:ascii="宋体" w:hAnsi="宋体" w:eastAsia="宋体" w:cs="宋体"/>
          <w:sz w:val="24"/>
        </w:rPr>
        <w:t>响应文件的正本、副本以及电子文档均应密封送达磋商地点，应在封套上注明磋商项目名称、供应商名称。若正本、副本以及电子文档分别进行密封的，还应在封套上注明“正本”、“副本”、“电子文档”字样。</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（六）供应商参与人员</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各个供应商应当派1-2名代表参与磋商，至少1人应为法定代表人（或其授权代表）或自然人（供应商为自然人）。</w:t>
      </w:r>
    </w:p>
    <w:p>
      <w:pPr>
        <w:pStyle w:val="2"/>
        <w:numPr>
          <w:ilvl w:val="1"/>
          <w:numId w:val="0"/>
        </w:numPr>
        <w:adjustRightInd w:val="0"/>
        <w:snapToGrid w:val="0"/>
        <w:spacing w:line="400" w:lineRule="exact"/>
        <w:rPr>
          <w:rFonts w:hint="eastAsia" w:ascii="宋体" w:hAnsi="宋体" w:eastAsia="宋体" w:cs="宋体"/>
          <w:b/>
          <w:bCs w:val="0"/>
          <w:sz w:val="24"/>
        </w:rPr>
      </w:pPr>
      <w:bookmarkStart w:id="217" w:name="_Toc3865"/>
      <w:bookmarkStart w:id="218" w:name="_Toc4494"/>
      <w:bookmarkStart w:id="219" w:name="_Toc106030896"/>
      <w:bookmarkStart w:id="220" w:name="_Toc76462341"/>
      <w:bookmarkStart w:id="221" w:name="_Toc2980"/>
      <w:bookmarkStart w:id="222" w:name="_Toc31879"/>
      <w:bookmarkStart w:id="223" w:name="_Toc528"/>
      <w:r>
        <w:rPr>
          <w:rFonts w:hint="eastAsia" w:ascii="宋体" w:hAnsi="宋体" w:eastAsia="宋体" w:cs="宋体"/>
          <w:b/>
          <w:bCs w:val="0"/>
          <w:sz w:val="24"/>
        </w:rPr>
        <w:t>四、成交供应商的确认和变更</w:t>
      </w:r>
      <w:bookmarkEnd w:id="217"/>
      <w:bookmarkEnd w:id="218"/>
      <w:bookmarkEnd w:id="219"/>
      <w:bookmarkEnd w:id="220"/>
      <w:bookmarkEnd w:id="221"/>
      <w:bookmarkEnd w:id="222"/>
      <w:bookmarkEnd w:id="223"/>
    </w:p>
    <w:p>
      <w:pPr>
        <w:snapToGrid w:val="0"/>
        <w:spacing w:line="400" w:lineRule="exact"/>
        <w:ind w:firstLine="480" w:firstLineChars="200"/>
        <w:outlineLvl w:val="2"/>
        <w:rPr>
          <w:rFonts w:hint="eastAsia" w:ascii="宋体" w:hAnsi="宋体" w:eastAsia="宋体" w:cs="宋体"/>
          <w:sz w:val="24"/>
          <w:szCs w:val="24"/>
        </w:rPr>
      </w:pPr>
      <w:bookmarkStart w:id="224" w:name="_Toc8871"/>
      <w:r>
        <w:rPr>
          <w:rFonts w:hint="eastAsia" w:ascii="宋体" w:hAnsi="宋体" w:eastAsia="宋体" w:cs="宋体"/>
          <w:sz w:val="24"/>
          <w:szCs w:val="24"/>
        </w:rPr>
        <w:t>（一）成交供应商的确认</w:t>
      </w:r>
      <w:bookmarkEnd w:id="224"/>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采购代理机构应当在评审结束后2个工作日内将评审报告送采购人确认。采购人应当在收到评审报告后5个工作日内，从评审报告提出的成交候选供应商中，按照评审得分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400" w:lineRule="exact"/>
        <w:ind w:firstLine="480" w:firstLineChars="200"/>
        <w:outlineLvl w:val="2"/>
        <w:rPr>
          <w:rFonts w:hint="eastAsia" w:ascii="宋体" w:hAnsi="宋体" w:eastAsia="宋体" w:cs="宋体"/>
          <w:sz w:val="24"/>
          <w:szCs w:val="24"/>
        </w:rPr>
      </w:pPr>
      <w:bookmarkStart w:id="225" w:name="_Toc19256"/>
      <w:r>
        <w:rPr>
          <w:rFonts w:hint="eastAsia" w:ascii="宋体" w:hAnsi="宋体" w:eastAsia="宋体" w:cs="宋体"/>
          <w:sz w:val="24"/>
          <w:szCs w:val="24"/>
        </w:rPr>
        <w:t>（二）成交供应商的变更</w:t>
      </w:r>
      <w:bookmarkEnd w:id="225"/>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rPr>
        <w:t>成交供应商拒绝与采购人签订合同的，采购人可以按照评标报告推荐的成交候选供应商顺序，确定排名下一位的候选人为成交供应商，也可以重新开展采购活动。</w:t>
      </w:r>
    </w:p>
    <w:p>
      <w:pPr>
        <w:pStyle w:val="2"/>
        <w:numPr>
          <w:ilvl w:val="1"/>
          <w:numId w:val="0"/>
        </w:numPr>
        <w:adjustRightInd w:val="0"/>
        <w:snapToGrid w:val="0"/>
        <w:spacing w:line="400" w:lineRule="exact"/>
        <w:rPr>
          <w:rFonts w:hint="eastAsia" w:ascii="宋体" w:hAnsi="宋体" w:eastAsia="宋体" w:cs="宋体"/>
          <w:b/>
          <w:bCs w:val="0"/>
          <w:sz w:val="24"/>
        </w:rPr>
      </w:pPr>
      <w:bookmarkStart w:id="226" w:name="_Toc9526"/>
      <w:bookmarkStart w:id="227" w:name="_Toc342913395"/>
      <w:bookmarkStart w:id="228" w:name="_Toc23535"/>
      <w:bookmarkStart w:id="229" w:name="_Toc5724"/>
      <w:bookmarkStart w:id="230" w:name="_Toc8696"/>
      <w:bookmarkStart w:id="231" w:name="_Toc102227321"/>
      <w:bookmarkStart w:id="232" w:name="_Toc76462342"/>
      <w:bookmarkStart w:id="233" w:name="_Toc13561"/>
      <w:bookmarkStart w:id="234" w:name="_Toc106030897"/>
      <w:r>
        <w:rPr>
          <w:rFonts w:hint="eastAsia" w:ascii="宋体" w:hAnsi="宋体" w:eastAsia="宋体" w:cs="宋体"/>
          <w:b/>
          <w:bCs w:val="0"/>
          <w:sz w:val="24"/>
        </w:rPr>
        <w:t>五、成交通知</w:t>
      </w:r>
      <w:bookmarkEnd w:id="226"/>
      <w:bookmarkEnd w:id="227"/>
      <w:bookmarkEnd w:id="228"/>
      <w:bookmarkEnd w:id="229"/>
      <w:bookmarkEnd w:id="230"/>
      <w:bookmarkEnd w:id="231"/>
      <w:bookmarkEnd w:id="232"/>
      <w:bookmarkEnd w:id="233"/>
      <w:bookmarkEnd w:id="234"/>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（一）成交供应商确定后，采购代理机构将在“行采家”（ https://www.gec123.com/）上发布成交结果公告。</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（二）结果公告发出同时，采购代理机构将以书面形式发出《成交通知书》。《成交通知书》一经发出即发生法律效力。</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（三）《成交通知书》将作为签订合同的依据。</w:t>
      </w:r>
    </w:p>
    <w:p>
      <w:pPr>
        <w:pStyle w:val="2"/>
        <w:numPr>
          <w:ilvl w:val="1"/>
          <w:numId w:val="0"/>
        </w:numPr>
        <w:adjustRightInd w:val="0"/>
        <w:snapToGrid w:val="0"/>
        <w:spacing w:line="400" w:lineRule="exact"/>
        <w:rPr>
          <w:rFonts w:hint="eastAsia" w:ascii="宋体" w:hAnsi="宋体" w:eastAsia="宋体" w:cs="宋体"/>
          <w:b/>
          <w:bCs w:val="0"/>
          <w:sz w:val="24"/>
        </w:rPr>
      </w:pPr>
      <w:bookmarkStart w:id="235" w:name="_Toc7701"/>
      <w:bookmarkStart w:id="236" w:name="_Toc106030898"/>
      <w:bookmarkStart w:id="237" w:name="_Toc8820"/>
      <w:bookmarkStart w:id="238" w:name="_Toc1763"/>
      <w:bookmarkStart w:id="239" w:name="_Toc20100"/>
      <w:bookmarkStart w:id="240" w:name="_Toc76462343"/>
      <w:bookmarkStart w:id="241" w:name="_Toc19518"/>
      <w:r>
        <w:rPr>
          <w:rFonts w:hint="eastAsia" w:ascii="宋体" w:hAnsi="宋体" w:eastAsia="宋体" w:cs="宋体"/>
          <w:b/>
          <w:bCs w:val="0"/>
          <w:sz w:val="24"/>
        </w:rPr>
        <w:t>六、关于质疑和投诉</w:t>
      </w:r>
      <w:bookmarkEnd w:id="235"/>
      <w:bookmarkEnd w:id="236"/>
      <w:bookmarkEnd w:id="237"/>
      <w:bookmarkEnd w:id="238"/>
      <w:bookmarkEnd w:id="239"/>
      <w:bookmarkEnd w:id="240"/>
      <w:bookmarkEnd w:id="241"/>
    </w:p>
    <w:p>
      <w:pPr>
        <w:spacing w:line="400" w:lineRule="exact"/>
        <w:ind w:firstLine="480" w:firstLineChars="200"/>
        <w:outlineLvl w:val="2"/>
        <w:rPr>
          <w:rFonts w:hint="eastAsia" w:ascii="宋体" w:hAnsi="宋体" w:eastAsia="宋体" w:cs="宋体"/>
          <w:sz w:val="24"/>
          <w:szCs w:val="24"/>
        </w:rPr>
      </w:pPr>
      <w:bookmarkStart w:id="242" w:name="_Toc5011"/>
      <w:r>
        <w:rPr>
          <w:rFonts w:hint="eastAsia" w:ascii="宋体" w:hAnsi="宋体" w:eastAsia="宋体" w:cs="宋体"/>
          <w:sz w:val="24"/>
          <w:szCs w:val="24"/>
        </w:rPr>
        <w:t>（一）质疑</w:t>
      </w:r>
      <w:bookmarkEnd w:id="242"/>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供应商认为采购文件、采购过程和成交结果使自己的权益收到伤害的，可向采购人或采购代理机构以书面形式提出质疑。</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提出质疑的应当是参与所质疑项目采购活动的供应商。 </w:t>
      </w:r>
    </w:p>
    <w:p>
      <w:pPr>
        <w:spacing w:line="400" w:lineRule="exact"/>
        <w:ind w:right="12" w:firstLine="480"/>
        <w:outlineLvl w:val="2"/>
        <w:rPr>
          <w:rFonts w:hint="eastAsia" w:ascii="宋体" w:hAnsi="宋体" w:eastAsia="宋体" w:cs="宋体"/>
          <w:sz w:val="24"/>
        </w:rPr>
      </w:pPr>
      <w:bookmarkStart w:id="243" w:name="_Toc29896"/>
      <w:r>
        <w:rPr>
          <w:rFonts w:hint="eastAsia" w:ascii="宋体" w:hAnsi="宋体" w:eastAsia="宋体" w:cs="宋体"/>
          <w:sz w:val="24"/>
        </w:rPr>
        <w:t>1.质疑时限、内容</w:t>
      </w:r>
      <w:bookmarkEnd w:id="243"/>
    </w:p>
    <w:p>
      <w:pPr>
        <w:spacing w:line="400" w:lineRule="exact"/>
        <w:ind w:right="12" w:firstLine="480"/>
        <w:rPr>
          <w:rFonts w:hint="eastAsia" w:ascii="宋体" w:hAnsi="宋体" w:eastAsia="宋体" w:cs="宋体"/>
          <w:sz w:val="24"/>
        </w:rPr>
      </w:pPr>
      <w:r>
        <w:rPr>
          <w:rFonts w:hint="eastAsia" w:ascii="宋体" w:hAnsi="宋体" w:eastAsia="宋体" w:cs="宋体"/>
          <w:sz w:val="24"/>
        </w:rPr>
        <w:t>供应商认为采购文件、采购过程、成交结果使自己的权益受到损害的，可以在知道或者应知其权益受到损害之日起7个工作日内，以书面形式向采购人、采购代理机构提出质疑。</w:t>
      </w:r>
    </w:p>
    <w:p>
      <w:pPr>
        <w:spacing w:line="400" w:lineRule="exact"/>
        <w:ind w:right="12" w:firstLine="480"/>
        <w:rPr>
          <w:rFonts w:hint="eastAsia" w:ascii="宋体" w:hAnsi="宋体" w:eastAsia="宋体" w:cs="宋体"/>
          <w:sz w:val="24"/>
        </w:rPr>
      </w:pPr>
      <w:r>
        <w:rPr>
          <w:rFonts w:hint="eastAsia" w:ascii="宋体" w:hAnsi="宋体" w:eastAsia="宋体" w:cs="宋体"/>
          <w:sz w:val="24"/>
        </w:rPr>
        <w:t>1.2供应商提出质疑应当提交质疑函和必要的证明材料，质疑函应当包括下列内容：</w:t>
      </w:r>
    </w:p>
    <w:p>
      <w:pPr>
        <w:spacing w:line="400" w:lineRule="exact"/>
        <w:ind w:right="12" w:firstLine="480"/>
        <w:rPr>
          <w:rFonts w:hint="eastAsia" w:ascii="宋体" w:hAnsi="宋体" w:eastAsia="宋体" w:cs="宋体"/>
          <w:sz w:val="24"/>
        </w:rPr>
      </w:pPr>
      <w:r>
        <w:rPr>
          <w:rFonts w:hint="eastAsia" w:ascii="宋体" w:hAnsi="宋体" w:eastAsia="宋体" w:cs="宋体"/>
          <w:sz w:val="24"/>
        </w:rPr>
        <w:t>1.2.1供应商的姓名或者名称、地址、邮编、联系人及联系电话；</w:t>
      </w:r>
    </w:p>
    <w:p>
      <w:pPr>
        <w:spacing w:line="400" w:lineRule="exact"/>
        <w:ind w:right="12" w:firstLine="480"/>
        <w:rPr>
          <w:rFonts w:hint="eastAsia" w:ascii="宋体" w:hAnsi="宋体" w:eastAsia="宋体" w:cs="宋体"/>
          <w:sz w:val="24"/>
        </w:rPr>
      </w:pPr>
      <w:r>
        <w:rPr>
          <w:rFonts w:hint="eastAsia" w:ascii="宋体" w:hAnsi="宋体" w:eastAsia="宋体" w:cs="宋体"/>
          <w:sz w:val="24"/>
        </w:rPr>
        <w:t>1.2.2质疑项目的名称、项目号以及采购执行编号；</w:t>
      </w:r>
    </w:p>
    <w:p>
      <w:pPr>
        <w:spacing w:line="400" w:lineRule="exact"/>
        <w:ind w:right="12" w:firstLine="480"/>
        <w:rPr>
          <w:rFonts w:hint="eastAsia" w:ascii="宋体" w:hAnsi="宋体" w:eastAsia="宋体" w:cs="宋体"/>
          <w:sz w:val="24"/>
        </w:rPr>
      </w:pPr>
      <w:r>
        <w:rPr>
          <w:rFonts w:hint="eastAsia" w:ascii="宋体" w:hAnsi="宋体" w:eastAsia="宋体" w:cs="宋体"/>
          <w:sz w:val="24"/>
        </w:rPr>
        <w:t>1.2.3具体、明确的质疑事项和与质疑事项相关的请求；</w:t>
      </w:r>
    </w:p>
    <w:p>
      <w:pPr>
        <w:spacing w:line="400" w:lineRule="exact"/>
        <w:ind w:right="12" w:firstLine="480"/>
        <w:rPr>
          <w:rFonts w:hint="eastAsia" w:ascii="宋体" w:hAnsi="宋体" w:eastAsia="宋体" w:cs="宋体"/>
          <w:sz w:val="24"/>
        </w:rPr>
      </w:pPr>
      <w:r>
        <w:rPr>
          <w:rFonts w:hint="eastAsia" w:ascii="宋体" w:hAnsi="宋体" w:eastAsia="宋体" w:cs="宋体"/>
          <w:sz w:val="24"/>
        </w:rPr>
        <w:t>1.2.4事实依据；</w:t>
      </w:r>
    </w:p>
    <w:p>
      <w:pPr>
        <w:spacing w:line="400" w:lineRule="exact"/>
        <w:ind w:right="12" w:firstLine="480"/>
        <w:rPr>
          <w:rFonts w:hint="eastAsia" w:ascii="宋体" w:hAnsi="宋体" w:eastAsia="宋体" w:cs="宋体"/>
          <w:sz w:val="24"/>
        </w:rPr>
      </w:pPr>
      <w:r>
        <w:rPr>
          <w:rFonts w:hint="eastAsia" w:ascii="宋体" w:hAnsi="宋体" w:eastAsia="宋体" w:cs="宋体"/>
          <w:sz w:val="24"/>
        </w:rPr>
        <w:t>1.2.5必要的法律依据；</w:t>
      </w:r>
    </w:p>
    <w:p>
      <w:pPr>
        <w:spacing w:line="400" w:lineRule="exact"/>
        <w:ind w:right="12" w:firstLine="480"/>
        <w:rPr>
          <w:rFonts w:hint="eastAsia" w:ascii="宋体" w:hAnsi="宋体" w:eastAsia="宋体" w:cs="宋体"/>
          <w:sz w:val="24"/>
        </w:rPr>
      </w:pPr>
      <w:r>
        <w:rPr>
          <w:rFonts w:hint="eastAsia" w:ascii="宋体" w:hAnsi="宋体" w:eastAsia="宋体" w:cs="宋体"/>
          <w:sz w:val="24"/>
        </w:rPr>
        <w:t>1.2.6提出质疑的日期；</w:t>
      </w:r>
    </w:p>
    <w:p>
      <w:pPr>
        <w:spacing w:line="400" w:lineRule="exact"/>
        <w:ind w:right="12" w:firstLine="480"/>
        <w:rPr>
          <w:rFonts w:hint="eastAsia" w:ascii="宋体" w:hAnsi="宋体" w:eastAsia="宋体" w:cs="宋体"/>
          <w:sz w:val="24"/>
        </w:rPr>
      </w:pPr>
      <w:r>
        <w:rPr>
          <w:rFonts w:hint="eastAsia" w:ascii="宋体" w:hAnsi="宋体" w:eastAsia="宋体" w:cs="宋体"/>
          <w:sz w:val="24"/>
        </w:rPr>
        <w:t>1.2.7营业执照（或事业单位法人证书，或个体工商户营业执照或有效的自然人身份证明）复印件；</w:t>
      </w:r>
    </w:p>
    <w:p>
      <w:pPr>
        <w:spacing w:line="400" w:lineRule="exact"/>
        <w:ind w:right="12" w:firstLine="480"/>
        <w:rPr>
          <w:rFonts w:hint="eastAsia" w:ascii="宋体" w:hAnsi="宋体" w:eastAsia="宋体" w:cs="宋体"/>
          <w:sz w:val="24"/>
        </w:rPr>
      </w:pPr>
      <w:r>
        <w:rPr>
          <w:rFonts w:hint="eastAsia" w:ascii="宋体" w:hAnsi="宋体" w:eastAsia="宋体" w:cs="宋体"/>
          <w:sz w:val="24"/>
        </w:rPr>
        <w:t>1.2.8法定代表人授权委托书原件、法定代表人身份证复印件和其授权代表的身份证复印件（供应商为自然人的提供自然人身份证复印件）；</w:t>
      </w:r>
    </w:p>
    <w:p>
      <w:pPr>
        <w:spacing w:line="400" w:lineRule="exact"/>
        <w:ind w:right="12" w:firstLine="480"/>
        <w:rPr>
          <w:rFonts w:hint="eastAsia" w:ascii="宋体" w:hAnsi="宋体" w:eastAsia="宋体" w:cs="宋体"/>
          <w:sz w:val="24"/>
        </w:rPr>
      </w:pPr>
      <w:r>
        <w:rPr>
          <w:rFonts w:hint="eastAsia" w:ascii="宋体" w:hAnsi="宋体" w:eastAsia="宋体" w:cs="宋体"/>
          <w:sz w:val="24"/>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outlineLvl w:val="2"/>
        <w:rPr>
          <w:rFonts w:hint="eastAsia" w:ascii="宋体" w:hAnsi="宋体" w:eastAsia="宋体" w:cs="宋体"/>
          <w:sz w:val="24"/>
        </w:rPr>
      </w:pPr>
      <w:bookmarkStart w:id="244" w:name="_Toc20110"/>
      <w:r>
        <w:rPr>
          <w:rFonts w:hint="eastAsia" w:ascii="宋体" w:hAnsi="宋体" w:eastAsia="宋体" w:cs="宋体"/>
          <w:sz w:val="24"/>
        </w:rPr>
        <w:t>2.质疑答复</w:t>
      </w:r>
      <w:bookmarkEnd w:id="244"/>
    </w:p>
    <w:p>
      <w:pPr>
        <w:spacing w:line="400" w:lineRule="exact"/>
        <w:ind w:right="12" w:firstLine="480"/>
        <w:rPr>
          <w:rFonts w:hint="eastAsia" w:ascii="宋体" w:hAnsi="宋体" w:eastAsia="宋体" w:cs="宋体"/>
          <w:sz w:val="24"/>
        </w:rPr>
      </w:pPr>
      <w:r>
        <w:rPr>
          <w:rFonts w:hint="eastAsia" w:ascii="宋体" w:hAnsi="宋体" w:eastAsia="宋体" w:cs="宋体"/>
          <w:sz w:val="24"/>
        </w:rPr>
        <w:t>采购人、采购代理机构应当在收到供应商的书面质疑后七个工作日内作出答复，并以书面形式通知质疑供应商和其他有关供应商。</w:t>
      </w:r>
    </w:p>
    <w:p>
      <w:pPr>
        <w:spacing w:line="400" w:lineRule="exact"/>
        <w:ind w:right="12" w:firstLine="480"/>
        <w:outlineLvl w:val="2"/>
        <w:rPr>
          <w:rFonts w:hint="eastAsia" w:ascii="宋体" w:hAnsi="宋体" w:eastAsia="宋体" w:cs="宋体"/>
          <w:sz w:val="24"/>
        </w:rPr>
      </w:pPr>
      <w:bookmarkStart w:id="245" w:name="_Toc16825"/>
      <w:r>
        <w:rPr>
          <w:rFonts w:hint="eastAsia" w:ascii="宋体" w:hAnsi="宋体" w:eastAsia="宋体" w:cs="宋体"/>
          <w:sz w:val="24"/>
        </w:rPr>
        <w:t>3.其他</w:t>
      </w:r>
      <w:bookmarkEnd w:id="245"/>
    </w:p>
    <w:p>
      <w:pPr>
        <w:spacing w:line="400" w:lineRule="exact"/>
        <w:ind w:right="12" w:firstLine="480"/>
        <w:rPr>
          <w:rFonts w:hint="eastAsia" w:ascii="宋体" w:hAnsi="宋体" w:eastAsia="宋体" w:cs="宋体"/>
          <w:sz w:val="24"/>
        </w:rPr>
      </w:pPr>
      <w:r>
        <w:rPr>
          <w:rFonts w:hint="eastAsia" w:ascii="宋体" w:hAnsi="宋体" w:eastAsia="宋体" w:cs="宋体"/>
          <w:sz w:val="24"/>
        </w:rPr>
        <w:t>3.1供应商应按照《政府采购质疑和投诉办法》（财政部令第94号）及相关法律法规要求，在法定质疑期内一次性提出针对同一采购程序环节的质疑。</w:t>
      </w:r>
    </w:p>
    <w:p>
      <w:pPr>
        <w:spacing w:line="400" w:lineRule="exact"/>
        <w:ind w:right="12" w:firstLine="480"/>
        <w:rPr>
          <w:rFonts w:hint="eastAsia" w:ascii="宋体" w:hAnsi="宋体" w:eastAsia="宋体" w:cs="宋体"/>
          <w:sz w:val="24"/>
        </w:rPr>
      </w:pPr>
      <w:r>
        <w:rPr>
          <w:rFonts w:hint="eastAsia" w:ascii="宋体" w:hAnsi="宋体" w:eastAsia="宋体" w:cs="宋体"/>
          <w:sz w:val="24"/>
        </w:rPr>
        <w:t>3.2质疑函范本可在财政部门户网站和中国政府采购网下载。</w:t>
      </w:r>
    </w:p>
    <w:p>
      <w:pPr>
        <w:spacing w:line="400" w:lineRule="exact"/>
        <w:ind w:right="12" w:firstLine="480"/>
        <w:outlineLvl w:val="2"/>
        <w:rPr>
          <w:rFonts w:hint="eastAsia" w:ascii="宋体" w:hAnsi="宋体" w:eastAsia="宋体" w:cs="宋体"/>
          <w:sz w:val="24"/>
        </w:rPr>
      </w:pPr>
      <w:bookmarkStart w:id="246" w:name="_Toc15539"/>
      <w:r>
        <w:rPr>
          <w:rFonts w:hint="eastAsia" w:ascii="宋体" w:hAnsi="宋体" w:eastAsia="宋体" w:cs="宋体"/>
          <w:sz w:val="24"/>
        </w:rPr>
        <w:t>（二）投诉</w:t>
      </w:r>
      <w:bookmarkEnd w:id="246"/>
    </w:p>
    <w:p>
      <w:pPr>
        <w:spacing w:line="400" w:lineRule="exact"/>
        <w:ind w:right="12" w:firstLine="480"/>
        <w:rPr>
          <w:rFonts w:hint="eastAsia" w:ascii="宋体" w:hAnsi="宋体" w:eastAsia="宋体" w:cs="宋体"/>
          <w:sz w:val="24"/>
        </w:rPr>
      </w:pPr>
      <w:r>
        <w:rPr>
          <w:rFonts w:hint="eastAsia" w:ascii="宋体" w:hAnsi="宋体" w:eastAsia="宋体" w:cs="宋体"/>
          <w:sz w:val="24"/>
        </w:rPr>
        <w:t>1.供应商对采购人、采购代理机构的答复不满意，或者采购人、采购代理机构未在规定时间内作出答复的，可以在答复期满后15个工作日内按照相关法律法规向采购人监督部门提起投诉。</w:t>
      </w:r>
    </w:p>
    <w:p>
      <w:pPr>
        <w:spacing w:line="400" w:lineRule="exact"/>
        <w:ind w:right="12" w:firstLine="480"/>
        <w:rPr>
          <w:rFonts w:hint="eastAsia" w:ascii="宋体" w:hAnsi="宋体" w:eastAsia="宋体" w:cs="宋体"/>
          <w:sz w:val="24"/>
        </w:rPr>
      </w:pPr>
      <w:r>
        <w:rPr>
          <w:rFonts w:hint="eastAsia" w:ascii="宋体" w:hAnsi="宋体" w:eastAsia="宋体" w:cs="宋体"/>
          <w:sz w:val="24"/>
        </w:rPr>
        <w:t>2.供应商应按照《政府采购质疑和投诉办法》（财政部令第94号）及相关法律法规要求递交投诉书和必要的证明材料。投诉书范本可在财政部门户网站和中国政府采购网下载。</w:t>
      </w:r>
    </w:p>
    <w:p>
      <w:pPr>
        <w:spacing w:line="400" w:lineRule="exact"/>
        <w:ind w:right="12" w:firstLine="480"/>
        <w:rPr>
          <w:rFonts w:hint="eastAsia" w:ascii="宋体" w:hAnsi="宋体" w:eastAsia="宋体" w:cs="宋体"/>
          <w:sz w:val="24"/>
        </w:rPr>
      </w:pPr>
      <w:r>
        <w:rPr>
          <w:rFonts w:hint="eastAsia" w:ascii="宋体" w:hAnsi="宋体" w:eastAsia="宋体" w:cs="宋体"/>
          <w:sz w:val="24"/>
        </w:rPr>
        <w:t>3.投诉书应当使用中文，相关当事人提供外文书证或者外国语视听资料的，应当附有中文译本，由翻译机构盖章或者翻译人员签名；相关当事人向采购人监督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rPr>
        <w:t>4.在确定受理投诉后，采购人监督部门自受理投诉之日起30个工作日内（需要检验、检测、鉴定、专家评审以及需要投诉人补正材料的，所需时间不计算在投诉处理期限内）对投诉事项做出处理决定。</w:t>
      </w:r>
    </w:p>
    <w:p>
      <w:pPr>
        <w:pStyle w:val="2"/>
        <w:numPr>
          <w:ilvl w:val="1"/>
          <w:numId w:val="0"/>
        </w:numPr>
        <w:adjustRightInd w:val="0"/>
        <w:snapToGrid w:val="0"/>
        <w:spacing w:line="400" w:lineRule="exact"/>
        <w:rPr>
          <w:rFonts w:hint="eastAsia" w:ascii="宋体" w:hAnsi="宋体" w:eastAsia="宋体" w:cs="宋体"/>
          <w:b/>
          <w:bCs w:val="0"/>
          <w:sz w:val="24"/>
        </w:rPr>
      </w:pPr>
      <w:bookmarkStart w:id="247" w:name="_Toc18992"/>
      <w:bookmarkStart w:id="248" w:name="_Toc18763"/>
      <w:bookmarkStart w:id="249" w:name="_Toc106030899"/>
      <w:bookmarkStart w:id="250" w:name="_Toc3206"/>
      <w:bookmarkStart w:id="251" w:name="_Toc76462344"/>
      <w:bookmarkStart w:id="252" w:name="_Toc5107"/>
      <w:bookmarkStart w:id="253" w:name="_Toc28162"/>
      <w:r>
        <w:rPr>
          <w:rFonts w:hint="eastAsia" w:ascii="宋体" w:hAnsi="宋体" w:eastAsia="宋体" w:cs="宋体"/>
          <w:b/>
          <w:bCs w:val="0"/>
          <w:sz w:val="24"/>
        </w:rPr>
        <w:t>七、采购代理服务费</w:t>
      </w:r>
      <w:bookmarkEnd w:id="247"/>
      <w:bookmarkEnd w:id="248"/>
      <w:bookmarkEnd w:id="249"/>
      <w:bookmarkEnd w:id="250"/>
      <w:bookmarkEnd w:id="251"/>
      <w:bookmarkEnd w:id="252"/>
      <w:bookmarkEnd w:id="253"/>
    </w:p>
    <w:p>
      <w:pPr>
        <w:spacing w:line="400" w:lineRule="exact"/>
        <w:ind w:right="12" w:firstLine="480"/>
        <w:rPr>
          <w:rFonts w:hint="eastAsia" w:ascii="宋体" w:hAnsi="宋体" w:eastAsia="宋体" w:cs="宋体"/>
          <w:sz w:val="24"/>
        </w:rPr>
      </w:pPr>
      <w:bookmarkStart w:id="254" w:name="_Toc106030900"/>
      <w:bookmarkStart w:id="255" w:name="_Toc76462345"/>
      <w:r>
        <w:rPr>
          <w:rFonts w:hint="eastAsia" w:ascii="宋体" w:hAnsi="宋体" w:eastAsia="宋体" w:cs="宋体"/>
          <w:sz w:val="24"/>
        </w:rPr>
        <w:t>（一）</w:t>
      </w:r>
      <w:bookmarkStart w:id="256" w:name="OLE_LINK7"/>
      <w:r>
        <w:rPr>
          <w:rFonts w:hint="eastAsia" w:ascii="宋体" w:hAnsi="宋体" w:eastAsia="宋体" w:cs="宋体"/>
          <w:sz w:val="24"/>
        </w:rPr>
        <w:t>供应商成交后向采购代理机构缴纳采购代理服务费，采购代理服务费的收取标准按照</w:t>
      </w:r>
      <w:r>
        <w:rPr>
          <w:rFonts w:hint="eastAsia" w:ascii="宋体" w:hAnsi="宋体" w:cs="宋体"/>
          <w:sz w:val="24"/>
          <w:lang w:val="en-US" w:eastAsia="zh-CN"/>
        </w:rPr>
        <w:t>定额肆仟元整收取</w:t>
      </w:r>
      <w:r>
        <w:rPr>
          <w:rFonts w:hint="eastAsia" w:ascii="宋体" w:hAnsi="宋体" w:eastAsia="宋体" w:cs="宋体"/>
          <w:sz w:val="24"/>
        </w:rPr>
        <w:t>。</w:t>
      </w:r>
    </w:p>
    <w:bookmarkEnd w:id="256"/>
    <w:p>
      <w:pPr>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（二）采购代理服务费缴纳账号：</w:t>
      </w:r>
    </w:p>
    <w:p>
      <w:pPr>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户  名：重庆千策招标代理有限公司</w:t>
      </w:r>
    </w:p>
    <w:p>
      <w:pPr>
        <w:spacing w:line="400" w:lineRule="exact"/>
        <w:ind w:right="12" w:firstLine="480"/>
        <w:rPr>
          <w:rFonts w:hint="eastAsia" w:ascii="宋体" w:hAnsi="宋体" w:eastAsia="宋体" w:cs="宋体"/>
          <w:sz w:val="24"/>
        </w:rPr>
      </w:pPr>
      <w:r>
        <w:rPr>
          <w:rFonts w:hint="eastAsia" w:ascii="宋体" w:hAnsi="宋体" w:eastAsia="宋体" w:cs="宋体"/>
          <w:sz w:val="24"/>
        </w:rPr>
        <w:t>开户行：中国建设银行重庆杨家坪支行</w:t>
      </w:r>
    </w:p>
    <w:p>
      <w:pPr>
        <w:spacing w:line="400" w:lineRule="exact"/>
        <w:ind w:right="12" w:firstLine="480"/>
        <w:rPr>
          <w:rFonts w:hint="eastAsia" w:ascii="宋体" w:hAnsi="宋体" w:eastAsia="宋体" w:cs="宋体"/>
          <w:sz w:val="24"/>
        </w:rPr>
      </w:pPr>
      <w:r>
        <w:rPr>
          <w:rFonts w:hint="eastAsia" w:ascii="宋体" w:hAnsi="宋体" w:eastAsia="宋体" w:cs="宋体"/>
          <w:sz w:val="24"/>
        </w:rPr>
        <w:t>账  号：50050103360000000623</w:t>
      </w:r>
    </w:p>
    <w:bookmarkEnd w:id="254"/>
    <w:bookmarkEnd w:id="255"/>
    <w:p>
      <w:pPr>
        <w:pStyle w:val="2"/>
        <w:numPr>
          <w:ilvl w:val="1"/>
          <w:numId w:val="0"/>
        </w:numPr>
        <w:adjustRightInd w:val="0"/>
        <w:snapToGrid w:val="0"/>
        <w:spacing w:line="400" w:lineRule="exact"/>
        <w:rPr>
          <w:rFonts w:hint="eastAsia" w:ascii="宋体" w:hAnsi="宋体" w:eastAsia="宋体" w:cs="宋体"/>
          <w:b/>
          <w:bCs w:val="0"/>
          <w:sz w:val="24"/>
        </w:rPr>
      </w:pPr>
      <w:bookmarkStart w:id="257" w:name="_Toc102227322"/>
      <w:bookmarkStart w:id="258" w:name="_Toc24631"/>
      <w:bookmarkStart w:id="259" w:name="_Toc18091"/>
      <w:bookmarkStart w:id="260" w:name="_Toc17343"/>
      <w:bookmarkStart w:id="261" w:name="_Toc342913396"/>
      <w:bookmarkStart w:id="262" w:name="_Toc106030901"/>
      <w:bookmarkStart w:id="263" w:name="_Toc9365"/>
      <w:bookmarkStart w:id="264" w:name="_Toc76462346"/>
      <w:bookmarkStart w:id="265" w:name="_Toc20655"/>
      <w:bookmarkStart w:id="266" w:name="_Toc12789059"/>
      <w:bookmarkStart w:id="267" w:name="_Toc11641055"/>
      <w:r>
        <w:rPr>
          <w:rFonts w:hint="eastAsia" w:ascii="宋体" w:hAnsi="宋体" w:eastAsia="宋体" w:cs="宋体"/>
          <w:b/>
          <w:bCs w:val="0"/>
          <w:sz w:val="24"/>
        </w:rPr>
        <w:t>八、签订</w:t>
      </w:r>
      <w:bookmarkEnd w:id="257"/>
      <w:r>
        <w:rPr>
          <w:rFonts w:hint="eastAsia" w:ascii="宋体" w:hAnsi="宋体" w:eastAsia="宋体" w:cs="宋体"/>
          <w:b/>
          <w:bCs w:val="0"/>
          <w:sz w:val="24"/>
        </w:rPr>
        <w:t>合同</w:t>
      </w:r>
      <w:bookmarkEnd w:id="258"/>
      <w:bookmarkEnd w:id="259"/>
      <w:bookmarkEnd w:id="260"/>
      <w:bookmarkEnd w:id="261"/>
      <w:bookmarkEnd w:id="262"/>
      <w:bookmarkEnd w:id="263"/>
      <w:bookmarkEnd w:id="264"/>
      <w:bookmarkEnd w:id="265"/>
    </w:p>
    <w:p>
      <w:pPr>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rPr>
        <w:t>采购人原则上应在成交通知书发出之日起二十日内和成交供应商签订采购合同，无正当理由不得拒绝或拖延合同签订</w:t>
      </w:r>
      <w:r>
        <w:rPr>
          <w:rFonts w:hint="eastAsia" w:ascii="宋体" w:hAnsi="宋体" w:eastAsia="宋体" w:cs="宋体"/>
          <w:sz w:val="24"/>
          <w:szCs w:val="24"/>
        </w:rPr>
        <w:t>。所签订的合同不得对竞争性磋商文件和供应商的响应文件作实质性修改。其他未尽事宜由采购人和成交供应商在采购合同中详细约定。</w:t>
      </w:r>
    </w:p>
    <w:p>
      <w:pPr>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（二）竞争性磋商文件、供应商的响应文件及澄清文件等，均为签订采购合同的依据。</w:t>
      </w:r>
    </w:p>
    <w:p>
      <w:pPr>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（三）合同生效条款由供需双方约定，法律、行政法规规定应当办理批准、登记等手续后生效的合同，依照其规定。</w:t>
      </w:r>
    </w:p>
    <w:p>
      <w:pPr>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（四）合同原则上应按照《采购合同》签订，相关单位要求适用合同通用格式版本的，应按其要求另行签订其他合同。</w:t>
      </w:r>
    </w:p>
    <w:p>
      <w:pPr>
        <w:spacing w:line="400" w:lineRule="exact"/>
        <w:ind w:firstLine="360" w:firstLineChars="150"/>
        <w:rPr>
          <w:rFonts w:hint="eastAsia" w:ascii="宋体" w:hAnsi="宋体" w:eastAsia="宋体" w:cs="宋体"/>
          <w:sz w:val="24"/>
          <w:szCs w:val="24"/>
        </w:rPr>
      </w:pPr>
      <w:r>
        <w:rPr>
          <w:rFonts w:hint="eastAsia" w:ascii="宋体" w:hAnsi="宋体" w:eastAsia="宋体" w:cs="宋体"/>
          <w:sz w:val="24"/>
          <w:szCs w:val="24"/>
        </w:rPr>
        <w:t>（五）采购人要求成交供应商提供履约保证金的，应当在竞争性磋商文件中予以约定。成交供应商履约完毕后，采购人根据采购文件规定无息退还其履约保证金。</w:t>
      </w:r>
    </w:p>
    <w:p>
      <w:pPr>
        <w:pStyle w:val="2"/>
        <w:numPr>
          <w:ilvl w:val="1"/>
          <w:numId w:val="0"/>
        </w:numPr>
        <w:spacing w:line="360" w:lineRule="auto"/>
        <w:jc w:val="center"/>
        <w:rPr>
          <w:rFonts w:hint="eastAsia" w:ascii="宋体" w:hAnsi="宋体" w:eastAsia="宋体" w:cs="宋体"/>
          <w:sz w:val="36"/>
          <w:szCs w:val="30"/>
        </w:rPr>
      </w:pPr>
      <w:r>
        <w:rPr>
          <w:rFonts w:hint="eastAsia" w:ascii="宋体" w:hAnsi="宋体" w:eastAsia="宋体" w:cs="宋体"/>
          <w:sz w:val="36"/>
          <w:szCs w:val="30"/>
        </w:rPr>
        <w:br w:type="page"/>
      </w:r>
      <w:bookmarkStart w:id="268" w:name="_Toc15809"/>
      <w:bookmarkStart w:id="269" w:name="_Toc7747"/>
      <w:bookmarkStart w:id="270" w:name="_Toc76462348"/>
      <w:bookmarkStart w:id="271" w:name="_Toc2102"/>
      <w:bookmarkStart w:id="272" w:name="_Toc21533"/>
      <w:bookmarkStart w:id="273" w:name="_Toc106030904"/>
      <w:bookmarkStart w:id="274" w:name="_Toc26478"/>
      <w:r>
        <w:rPr>
          <w:rFonts w:hint="eastAsia" w:ascii="宋体" w:hAnsi="宋体" w:eastAsia="宋体" w:cs="宋体"/>
          <w:sz w:val="36"/>
          <w:szCs w:val="30"/>
        </w:rPr>
        <w:t xml:space="preserve">第六篇  </w:t>
      </w:r>
      <w:bookmarkEnd w:id="266"/>
      <w:bookmarkEnd w:id="267"/>
      <w:bookmarkEnd w:id="268"/>
      <w:bookmarkEnd w:id="269"/>
      <w:bookmarkEnd w:id="270"/>
      <w:bookmarkEnd w:id="271"/>
      <w:bookmarkEnd w:id="272"/>
      <w:bookmarkEnd w:id="273"/>
      <w:r>
        <w:rPr>
          <w:rFonts w:hint="eastAsia" w:ascii="宋体" w:hAnsi="宋体" w:eastAsia="宋体" w:cs="宋体"/>
          <w:sz w:val="36"/>
          <w:szCs w:val="30"/>
        </w:rPr>
        <w:t>采购合同</w:t>
      </w:r>
      <w:bookmarkEnd w:id="274"/>
    </w:p>
    <w:p>
      <w:pPr>
        <w:spacing w:line="500" w:lineRule="exact"/>
        <w:jc w:val="center"/>
        <w:rPr>
          <w:rFonts w:hint="eastAsia" w:ascii="宋体" w:hAnsi="宋体" w:eastAsia="宋体" w:cs="宋体"/>
          <w:b/>
          <w:sz w:val="44"/>
        </w:rPr>
      </w:pPr>
      <w:r>
        <w:rPr>
          <w:rFonts w:hint="eastAsia" w:ascii="宋体" w:hAnsi="宋体" w:eastAsia="宋体" w:cs="宋体"/>
          <w:b/>
          <w:sz w:val="44"/>
        </w:rPr>
        <w:t>采购合同</w:t>
      </w:r>
    </w:p>
    <w:p>
      <w:pPr>
        <w:spacing w:line="500" w:lineRule="exact"/>
        <w:jc w:val="center"/>
        <w:rPr>
          <w:rFonts w:hint="eastAsia" w:ascii="宋体" w:hAnsi="宋体" w:eastAsia="宋体" w:cs="宋体"/>
        </w:rPr>
      </w:pPr>
      <w:r>
        <w:rPr>
          <w:rFonts w:hint="eastAsia" w:ascii="宋体" w:hAnsi="宋体" w:eastAsia="宋体" w:cs="宋体"/>
        </w:rPr>
        <w:t>（项目号：     ）</w:t>
      </w:r>
    </w:p>
    <w:p>
      <w:pPr>
        <w:spacing w:line="500" w:lineRule="exact"/>
        <w:rPr>
          <w:rFonts w:hint="eastAsia" w:ascii="宋体" w:hAnsi="宋体" w:eastAsia="宋体" w:cs="宋体"/>
          <w:sz w:val="24"/>
        </w:rPr>
      </w:pPr>
      <w:r>
        <w:rPr>
          <w:rFonts w:hint="eastAsia" w:ascii="宋体" w:hAnsi="宋体" w:eastAsia="宋体" w:cs="宋体"/>
          <w:sz w:val="24"/>
        </w:rPr>
        <w:t>甲方（需方）：___________________________      计价单位：____________</w:t>
      </w:r>
    </w:p>
    <w:p>
      <w:pPr>
        <w:spacing w:line="500" w:lineRule="exact"/>
        <w:rPr>
          <w:rFonts w:hint="eastAsia" w:ascii="宋体" w:hAnsi="宋体" w:eastAsia="宋体" w:cs="宋体"/>
          <w:sz w:val="24"/>
        </w:rPr>
      </w:pPr>
      <w:r>
        <w:rPr>
          <w:rFonts w:hint="eastAsia" w:ascii="宋体" w:hAnsi="宋体" w:eastAsia="宋体" w:cs="宋体"/>
          <w:sz w:val="24"/>
        </w:rPr>
        <w:t>乙方（供方）：___________________________      计量单位：_____________</w:t>
      </w:r>
    </w:p>
    <w:p>
      <w:pPr>
        <w:spacing w:line="500" w:lineRule="exact"/>
        <w:rPr>
          <w:rFonts w:hint="eastAsia" w:ascii="宋体" w:hAnsi="宋体" w:eastAsia="宋体" w:cs="宋体"/>
          <w:sz w:val="24"/>
        </w:rPr>
      </w:pPr>
    </w:p>
    <w:p>
      <w:pPr>
        <w:spacing w:line="500" w:lineRule="exact"/>
        <w:rPr>
          <w:rFonts w:hint="eastAsia" w:ascii="宋体" w:hAnsi="宋体" w:eastAsia="宋体" w:cs="宋体"/>
          <w:sz w:val="24"/>
        </w:rPr>
      </w:pPr>
      <w:r>
        <w:rPr>
          <w:rFonts w:hint="eastAsia" w:ascii="宋体" w:hAnsi="宋体" w:eastAsia="宋体" w:cs="宋体"/>
          <w:sz w:val="24"/>
        </w:rPr>
        <w:t>经双方协商一致，达成以下购销合同：</w:t>
      </w:r>
    </w:p>
    <w:tbl>
      <w:tblPr>
        <w:tblStyle w:val="2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磋商项目名称</w:t>
            </w:r>
          </w:p>
        </w:tc>
        <w:tc>
          <w:tcPr>
            <w:tcW w:w="984" w:type="dxa"/>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数量</w:t>
            </w:r>
          </w:p>
        </w:tc>
        <w:tc>
          <w:tcPr>
            <w:tcW w:w="1298" w:type="dxa"/>
            <w:gridSpan w:val="2"/>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综合单价</w:t>
            </w:r>
          </w:p>
        </w:tc>
        <w:tc>
          <w:tcPr>
            <w:tcW w:w="1134" w:type="dxa"/>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总价</w:t>
            </w:r>
          </w:p>
        </w:tc>
        <w:tc>
          <w:tcPr>
            <w:tcW w:w="1559" w:type="dxa"/>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服务时间</w:t>
            </w:r>
          </w:p>
        </w:tc>
        <w:tc>
          <w:tcPr>
            <w:tcW w:w="1567" w:type="dxa"/>
            <w:vAlign w:val="center"/>
          </w:tcPr>
          <w:p>
            <w:pPr>
              <w:spacing w:line="240" w:lineRule="atLeast"/>
              <w:jc w:val="center"/>
              <w:rPr>
                <w:rFonts w:hint="eastAsia" w:ascii="宋体" w:hAnsi="宋体" w:eastAsia="宋体" w:cs="宋体"/>
                <w:sz w:val="21"/>
                <w:szCs w:val="21"/>
              </w:rPr>
            </w:pPr>
            <w:r>
              <w:rPr>
                <w:rFonts w:hint="eastAsia" w:ascii="宋体" w:hAnsi="宋体" w:eastAsia="宋体" w:cs="宋体"/>
                <w:sz w:val="2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宋体" w:hAnsi="宋体" w:eastAsia="宋体" w:cs="宋体"/>
                <w:sz w:val="21"/>
                <w:szCs w:val="21"/>
              </w:rPr>
            </w:pPr>
          </w:p>
        </w:tc>
        <w:tc>
          <w:tcPr>
            <w:tcW w:w="984" w:type="dxa"/>
            <w:vAlign w:val="center"/>
          </w:tcPr>
          <w:p>
            <w:pPr>
              <w:spacing w:line="240" w:lineRule="atLeast"/>
              <w:jc w:val="center"/>
              <w:rPr>
                <w:rFonts w:hint="eastAsia" w:ascii="宋体" w:hAnsi="宋体" w:eastAsia="宋体" w:cs="宋体"/>
                <w:sz w:val="21"/>
                <w:szCs w:val="21"/>
              </w:rPr>
            </w:pPr>
          </w:p>
        </w:tc>
        <w:tc>
          <w:tcPr>
            <w:tcW w:w="1298" w:type="dxa"/>
            <w:gridSpan w:val="2"/>
            <w:vAlign w:val="center"/>
          </w:tcPr>
          <w:p>
            <w:pPr>
              <w:spacing w:line="240" w:lineRule="atLeast"/>
              <w:jc w:val="center"/>
              <w:rPr>
                <w:rFonts w:hint="eastAsia" w:ascii="宋体" w:hAnsi="宋体" w:eastAsia="宋体" w:cs="宋体"/>
                <w:sz w:val="21"/>
                <w:szCs w:val="21"/>
              </w:rPr>
            </w:pPr>
          </w:p>
        </w:tc>
        <w:tc>
          <w:tcPr>
            <w:tcW w:w="1134" w:type="dxa"/>
            <w:vAlign w:val="center"/>
          </w:tcPr>
          <w:p>
            <w:pPr>
              <w:spacing w:line="240" w:lineRule="atLeast"/>
              <w:jc w:val="center"/>
              <w:rPr>
                <w:rFonts w:hint="eastAsia" w:ascii="宋体" w:hAnsi="宋体" w:eastAsia="宋体" w:cs="宋体"/>
                <w:sz w:val="21"/>
                <w:szCs w:val="21"/>
              </w:rPr>
            </w:pPr>
          </w:p>
        </w:tc>
        <w:tc>
          <w:tcPr>
            <w:tcW w:w="1559" w:type="dxa"/>
            <w:vAlign w:val="center"/>
          </w:tcPr>
          <w:p>
            <w:pPr>
              <w:spacing w:line="240" w:lineRule="atLeast"/>
              <w:jc w:val="center"/>
              <w:rPr>
                <w:rFonts w:hint="eastAsia" w:ascii="宋体" w:hAnsi="宋体" w:eastAsia="宋体" w:cs="宋体"/>
                <w:sz w:val="21"/>
                <w:szCs w:val="21"/>
              </w:rPr>
            </w:pPr>
          </w:p>
        </w:tc>
        <w:tc>
          <w:tcPr>
            <w:tcW w:w="1567" w:type="dxa"/>
            <w:vAlign w:val="center"/>
          </w:tcPr>
          <w:p>
            <w:pPr>
              <w:spacing w:line="24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line="240" w:lineRule="atLeast"/>
              <w:jc w:val="center"/>
              <w:rPr>
                <w:rFonts w:hint="eastAsia" w:ascii="宋体" w:hAnsi="宋体" w:eastAsia="宋体" w:cs="宋体"/>
                <w:sz w:val="21"/>
                <w:szCs w:val="21"/>
              </w:rPr>
            </w:pPr>
          </w:p>
        </w:tc>
        <w:tc>
          <w:tcPr>
            <w:tcW w:w="984" w:type="dxa"/>
            <w:vAlign w:val="center"/>
          </w:tcPr>
          <w:p>
            <w:pPr>
              <w:spacing w:line="240" w:lineRule="atLeast"/>
              <w:jc w:val="center"/>
              <w:rPr>
                <w:rFonts w:hint="eastAsia" w:ascii="宋体" w:hAnsi="宋体" w:eastAsia="宋体" w:cs="宋体"/>
                <w:sz w:val="21"/>
                <w:szCs w:val="21"/>
              </w:rPr>
            </w:pPr>
          </w:p>
        </w:tc>
        <w:tc>
          <w:tcPr>
            <w:tcW w:w="1298" w:type="dxa"/>
            <w:gridSpan w:val="2"/>
            <w:vAlign w:val="center"/>
          </w:tcPr>
          <w:p>
            <w:pPr>
              <w:spacing w:line="240" w:lineRule="atLeast"/>
              <w:jc w:val="center"/>
              <w:rPr>
                <w:rFonts w:hint="eastAsia" w:ascii="宋体" w:hAnsi="宋体" w:eastAsia="宋体" w:cs="宋体"/>
                <w:sz w:val="21"/>
                <w:szCs w:val="21"/>
              </w:rPr>
            </w:pPr>
          </w:p>
        </w:tc>
        <w:tc>
          <w:tcPr>
            <w:tcW w:w="1134" w:type="dxa"/>
            <w:vAlign w:val="center"/>
          </w:tcPr>
          <w:p>
            <w:pPr>
              <w:spacing w:line="240" w:lineRule="atLeast"/>
              <w:jc w:val="center"/>
              <w:rPr>
                <w:rFonts w:hint="eastAsia" w:ascii="宋体" w:hAnsi="宋体" w:eastAsia="宋体" w:cs="宋体"/>
                <w:sz w:val="21"/>
                <w:szCs w:val="21"/>
              </w:rPr>
            </w:pPr>
          </w:p>
        </w:tc>
        <w:tc>
          <w:tcPr>
            <w:tcW w:w="1559" w:type="dxa"/>
            <w:vAlign w:val="center"/>
          </w:tcPr>
          <w:p>
            <w:pPr>
              <w:spacing w:line="240" w:lineRule="atLeast"/>
              <w:jc w:val="center"/>
              <w:rPr>
                <w:rFonts w:hint="eastAsia" w:ascii="宋体" w:hAnsi="宋体" w:eastAsia="宋体" w:cs="宋体"/>
                <w:sz w:val="21"/>
                <w:szCs w:val="21"/>
              </w:rPr>
            </w:pPr>
          </w:p>
        </w:tc>
        <w:tc>
          <w:tcPr>
            <w:tcW w:w="1567" w:type="dxa"/>
            <w:vAlign w:val="center"/>
          </w:tcPr>
          <w:p>
            <w:pPr>
              <w:spacing w:line="240" w:lineRule="atLeas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hint="eastAsia" w:ascii="宋体" w:hAnsi="宋体" w:eastAsia="宋体" w:cs="宋体"/>
                <w:sz w:val="21"/>
                <w:szCs w:val="21"/>
              </w:rPr>
            </w:pPr>
            <w:r>
              <w:rPr>
                <w:rFonts w:hint="eastAsia" w:ascii="宋体" w:hAnsi="宋体" w:eastAsia="宋体" w:cs="宋体"/>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line="240" w:lineRule="atLeast"/>
              <w:rPr>
                <w:rFonts w:hint="eastAsia" w:ascii="宋体" w:hAnsi="宋体" w:eastAsia="宋体" w:cs="宋体"/>
                <w:sz w:val="21"/>
                <w:szCs w:val="21"/>
              </w:rPr>
            </w:pPr>
            <w:r>
              <w:rPr>
                <w:rFonts w:hint="eastAsia" w:ascii="宋体" w:hAnsi="宋体" w:eastAsia="宋体" w:cs="宋体"/>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76" w:hRule="atLeast"/>
        </w:trPr>
        <w:tc>
          <w:tcPr>
            <w:tcW w:w="9613" w:type="dxa"/>
            <w:gridSpan w:val="7"/>
          </w:tcPr>
          <w:p>
            <w:pPr>
              <w:spacing w:line="240" w:lineRule="atLeast"/>
              <w:rPr>
                <w:rFonts w:hint="eastAsia" w:ascii="宋体" w:hAnsi="宋体" w:eastAsia="宋体" w:cs="宋体"/>
                <w:sz w:val="21"/>
                <w:szCs w:val="21"/>
              </w:rPr>
            </w:pPr>
            <w:r>
              <w:rPr>
                <w:rFonts w:hint="eastAsia" w:ascii="宋体" w:hAnsi="宋体" w:eastAsia="宋体" w:cs="宋体"/>
                <w:sz w:val="21"/>
                <w:szCs w:val="21"/>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628" w:type="dxa"/>
            <w:gridSpan w:val="8"/>
          </w:tcPr>
          <w:p>
            <w:pPr>
              <w:spacing w:line="240" w:lineRule="atLeast"/>
              <w:rPr>
                <w:rFonts w:hint="eastAsia" w:ascii="宋体" w:hAnsi="宋体" w:eastAsia="宋体" w:cs="宋体"/>
                <w:sz w:val="21"/>
                <w:szCs w:val="21"/>
              </w:rPr>
            </w:pPr>
            <w:r>
              <w:rPr>
                <w:rFonts w:hint="eastAsia" w:ascii="宋体" w:hAnsi="宋体" w:eastAsia="宋体" w:cs="宋体"/>
                <w:sz w:val="21"/>
                <w:szCs w:val="21"/>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628" w:type="dxa"/>
            <w:gridSpan w:val="8"/>
          </w:tcPr>
          <w:p>
            <w:pPr>
              <w:spacing w:line="240" w:lineRule="atLeast"/>
              <w:rPr>
                <w:rFonts w:hint="eastAsia" w:ascii="宋体" w:hAnsi="宋体" w:eastAsia="宋体" w:cs="宋体"/>
                <w:sz w:val="21"/>
                <w:szCs w:val="21"/>
              </w:rPr>
            </w:pPr>
            <w:r>
              <w:rPr>
                <w:rFonts w:hint="eastAsia" w:ascii="宋体" w:hAnsi="宋体" w:eastAsia="宋体" w:cs="宋体"/>
                <w:sz w:val="21"/>
                <w:szCs w:val="21"/>
              </w:rPr>
              <w:t>三、付款方式：</w:t>
            </w:r>
          </w:p>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hint="eastAsia" w:ascii="宋体" w:hAnsi="宋体" w:eastAsia="宋体" w:cs="宋体"/>
                <w:sz w:val="21"/>
                <w:szCs w:val="21"/>
              </w:rPr>
            </w:pPr>
            <w:r>
              <w:rPr>
                <w:rFonts w:hint="eastAsia" w:ascii="宋体" w:hAnsi="宋体" w:eastAsia="宋体" w:cs="宋体"/>
                <w:sz w:val="21"/>
                <w:szCs w:val="21"/>
              </w:rPr>
              <w:t>四、违约责任：</w:t>
            </w:r>
          </w:p>
          <w:p>
            <w:pPr>
              <w:spacing w:line="240" w:lineRule="atLeast"/>
              <w:rPr>
                <w:rFonts w:hint="eastAsia" w:ascii="宋体" w:hAnsi="宋体" w:eastAsia="宋体" w:cs="宋体"/>
                <w:sz w:val="21"/>
                <w:szCs w:val="21"/>
              </w:rPr>
            </w:pPr>
            <w:r>
              <w:rPr>
                <w:rFonts w:hint="eastAsia" w:ascii="宋体" w:hAnsi="宋体" w:eastAsia="宋体" w:cs="宋体"/>
                <w:sz w:val="21"/>
                <w:szCs w:val="21"/>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hint="eastAsia" w:ascii="宋体" w:hAnsi="宋体" w:eastAsia="宋体" w:cs="宋体"/>
                <w:sz w:val="21"/>
                <w:szCs w:val="21"/>
              </w:rPr>
            </w:pPr>
            <w:r>
              <w:rPr>
                <w:rFonts w:hint="eastAsia" w:ascii="宋体" w:hAnsi="宋体" w:eastAsia="宋体" w:cs="宋体"/>
                <w:sz w:val="21"/>
                <w:szCs w:val="21"/>
              </w:rPr>
              <w:t>五、其他约定事项：</w:t>
            </w:r>
          </w:p>
          <w:p>
            <w:pPr>
              <w:spacing w:line="240" w:lineRule="atLeast"/>
              <w:rPr>
                <w:rFonts w:hint="eastAsia" w:ascii="宋体" w:hAnsi="宋体" w:eastAsia="宋体" w:cs="宋体"/>
                <w:sz w:val="21"/>
                <w:szCs w:val="21"/>
              </w:rPr>
            </w:pPr>
            <w:r>
              <w:rPr>
                <w:rFonts w:hint="eastAsia" w:ascii="宋体" w:hAnsi="宋体" w:eastAsia="宋体" w:cs="宋体"/>
                <w:sz w:val="21"/>
                <w:szCs w:val="21"/>
              </w:rPr>
              <w:t>1.采购文件及其澄清文件、响应文件和承诺是本合同不可分割的部分。</w:t>
            </w:r>
          </w:p>
          <w:p>
            <w:pPr>
              <w:spacing w:line="240" w:lineRule="atLeast"/>
              <w:rPr>
                <w:rFonts w:hint="eastAsia" w:ascii="宋体" w:hAnsi="宋体" w:eastAsia="宋体" w:cs="宋体"/>
                <w:sz w:val="21"/>
                <w:szCs w:val="21"/>
              </w:rPr>
            </w:pPr>
            <w:r>
              <w:rPr>
                <w:rFonts w:hint="eastAsia" w:ascii="宋体" w:hAnsi="宋体" w:eastAsia="宋体" w:cs="宋体"/>
                <w:sz w:val="21"/>
                <w:szCs w:val="21"/>
              </w:rPr>
              <w:t>2.本合同如发生争议由双方协商解决，协商不成向需方所在人民法院提请诉讼。</w:t>
            </w:r>
          </w:p>
          <w:p>
            <w:pPr>
              <w:spacing w:line="240" w:lineRule="atLeast"/>
              <w:rPr>
                <w:rFonts w:hint="eastAsia" w:ascii="宋体" w:hAnsi="宋体" w:eastAsia="宋体" w:cs="宋体"/>
                <w:sz w:val="21"/>
                <w:szCs w:val="21"/>
              </w:rPr>
            </w:pPr>
            <w:r>
              <w:rPr>
                <w:rFonts w:hint="eastAsia" w:ascii="宋体" w:hAnsi="宋体" w:eastAsia="宋体" w:cs="宋体"/>
                <w:sz w:val="21"/>
                <w:szCs w:val="21"/>
              </w:rPr>
              <w:t>3.本合同一式__份， 需方__份，供方__份，具同等法律效力。</w:t>
            </w:r>
          </w:p>
          <w:p>
            <w:pPr>
              <w:spacing w:line="240" w:lineRule="atLeast"/>
              <w:rPr>
                <w:rFonts w:hint="eastAsia" w:ascii="宋体" w:hAnsi="宋体" w:eastAsia="宋体" w:cs="宋体"/>
                <w:sz w:val="21"/>
                <w:szCs w:val="21"/>
              </w:rPr>
            </w:pPr>
            <w:r>
              <w:rPr>
                <w:rFonts w:hint="eastAsia" w:ascii="宋体" w:hAnsi="宋体" w:eastAsia="宋体" w:cs="宋体"/>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4" w:type="dxa"/>
            <w:gridSpan w:val="3"/>
          </w:tcPr>
          <w:p>
            <w:pPr>
              <w:spacing w:line="240" w:lineRule="atLeast"/>
              <w:rPr>
                <w:rFonts w:hint="eastAsia" w:ascii="宋体" w:hAnsi="宋体" w:eastAsia="宋体" w:cs="宋体"/>
                <w:sz w:val="21"/>
                <w:szCs w:val="21"/>
              </w:rPr>
            </w:pPr>
            <w:r>
              <w:rPr>
                <w:rFonts w:hint="eastAsia" w:ascii="宋体" w:hAnsi="宋体" w:eastAsia="宋体" w:cs="宋体"/>
                <w:sz w:val="21"/>
                <w:szCs w:val="21"/>
              </w:rPr>
              <w:t>需方：</w:t>
            </w:r>
          </w:p>
          <w:p>
            <w:pPr>
              <w:spacing w:line="240" w:lineRule="atLeast"/>
              <w:rPr>
                <w:rFonts w:hint="eastAsia" w:ascii="宋体" w:hAnsi="宋体" w:eastAsia="宋体" w:cs="宋体"/>
                <w:sz w:val="21"/>
                <w:szCs w:val="21"/>
              </w:rPr>
            </w:pPr>
            <w:r>
              <w:rPr>
                <w:rFonts w:hint="eastAsia" w:ascii="宋体" w:hAnsi="宋体" w:eastAsia="宋体" w:cs="宋体"/>
                <w:sz w:val="21"/>
                <w:szCs w:val="21"/>
              </w:rPr>
              <w:t>地址：</w:t>
            </w:r>
          </w:p>
          <w:p>
            <w:pPr>
              <w:spacing w:line="240" w:lineRule="atLeast"/>
              <w:rPr>
                <w:rFonts w:hint="eastAsia" w:ascii="宋体" w:hAnsi="宋体" w:eastAsia="宋体" w:cs="宋体"/>
                <w:sz w:val="21"/>
                <w:szCs w:val="21"/>
              </w:rPr>
            </w:pPr>
            <w:r>
              <w:rPr>
                <w:rFonts w:hint="eastAsia" w:ascii="宋体" w:hAnsi="宋体" w:eastAsia="宋体" w:cs="宋体"/>
                <w:sz w:val="21"/>
                <w:szCs w:val="21"/>
              </w:rPr>
              <w:t>联系电话：</w:t>
            </w:r>
          </w:p>
          <w:p>
            <w:pPr>
              <w:spacing w:line="240" w:lineRule="atLeast"/>
              <w:rPr>
                <w:rFonts w:hint="eastAsia" w:ascii="宋体" w:hAnsi="宋体" w:eastAsia="宋体" w:cs="宋体"/>
                <w:sz w:val="21"/>
                <w:szCs w:val="21"/>
              </w:rPr>
            </w:pPr>
            <w:r>
              <w:rPr>
                <w:rFonts w:hint="eastAsia" w:ascii="宋体" w:hAnsi="宋体" w:eastAsia="宋体" w:cs="宋体"/>
                <w:sz w:val="21"/>
                <w:szCs w:val="21"/>
              </w:rPr>
              <w:t>授权代表：</w:t>
            </w:r>
          </w:p>
        </w:tc>
        <w:tc>
          <w:tcPr>
            <w:tcW w:w="4984" w:type="dxa"/>
            <w:gridSpan w:val="5"/>
          </w:tcPr>
          <w:p>
            <w:pPr>
              <w:spacing w:line="240" w:lineRule="atLeast"/>
              <w:rPr>
                <w:rFonts w:hint="eastAsia" w:ascii="宋体" w:hAnsi="宋体" w:eastAsia="宋体" w:cs="宋体"/>
                <w:sz w:val="21"/>
                <w:szCs w:val="21"/>
              </w:rPr>
            </w:pPr>
            <w:r>
              <w:rPr>
                <w:rFonts w:hint="eastAsia" w:ascii="宋体" w:hAnsi="宋体" w:eastAsia="宋体" w:cs="宋体"/>
                <w:sz w:val="21"/>
                <w:szCs w:val="21"/>
              </w:rPr>
              <w:t>供方：</w:t>
            </w:r>
          </w:p>
          <w:p>
            <w:pPr>
              <w:spacing w:line="240" w:lineRule="atLeast"/>
              <w:rPr>
                <w:rFonts w:hint="eastAsia" w:ascii="宋体" w:hAnsi="宋体" w:eastAsia="宋体" w:cs="宋体"/>
                <w:sz w:val="21"/>
                <w:szCs w:val="21"/>
              </w:rPr>
            </w:pPr>
            <w:r>
              <w:rPr>
                <w:rFonts w:hint="eastAsia" w:ascii="宋体" w:hAnsi="宋体" w:eastAsia="宋体" w:cs="宋体"/>
                <w:sz w:val="21"/>
                <w:szCs w:val="21"/>
              </w:rPr>
              <w:t>地址：</w:t>
            </w:r>
          </w:p>
          <w:p>
            <w:pPr>
              <w:spacing w:line="240" w:lineRule="atLeast"/>
              <w:rPr>
                <w:rFonts w:hint="eastAsia" w:ascii="宋体" w:hAnsi="宋体" w:eastAsia="宋体" w:cs="宋体"/>
                <w:sz w:val="21"/>
                <w:szCs w:val="21"/>
              </w:rPr>
            </w:pPr>
            <w:r>
              <w:rPr>
                <w:rFonts w:hint="eastAsia" w:ascii="宋体" w:hAnsi="宋体" w:eastAsia="宋体" w:cs="宋体"/>
                <w:sz w:val="21"/>
                <w:szCs w:val="21"/>
              </w:rPr>
              <w:t>电话：</w:t>
            </w:r>
          </w:p>
          <w:p>
            <w:pPr>
              <w:spacing w:line="240" w:lineRule="atLeast"/>
              <w:rPr>
                <w:rFonts w:hint="eastAsia" w:ascii="宋体" w:hAnsi="宋体" w:eastAsia="宋体" w:cs="宋体"/>
                <w:sz w:val="21"/>
                <w:szCs w:val="21"/>
              </w:rPr>
            </w:pPr>
            <w:r>
              <w:rPr>
                <w:rFonts w:hint="eastAsia" w:ascii="宋体" w:hAnsi="宋体" w:eastAsia="宋体" w:cs="宋体"/>
                <w:sz w:val="21"/>
                <w:szCs w:val="21"/>
              </w:rPr>
              <w:t>传真：</w:t>
            </w:r>
          </w:p>
          <w:p>
            <w:pPr>
              <w:spacing w:line="240" w:lineRule="atLeast"/>
              <w:rPr>
                <w:rFonts w:hint="eastAsia" w:ascii="宋体" w:hAnsi="宋体" w:eastAsia="宋体" w:cs="宋体"/>
                <w:sz w:val="21"/>
                <w:szCs w:val="21"/>
              </w:rPr>
            </w:pPr>
            <w:r>
              <w:rPr>
                <w:rFonts w:hint="eastAsia" w:ascii="宋体" w:hAnsi="宋体" w:eastAsia="宋体" w:cs="宋体"/>
                <w:sz w:val="21"/>
                <w:szCs w:val="21"/>
              </w:rPr>
              <w:t>开户银行：</w:t>
            </w:r>
          </w:p>
          <w:p>
            <w:pPr>
              <w:spacing w:line="240" w:lineRule="atLeast"/>
              <w:rPr>
                <w:rFonts w:hint="eastAsia" w:ascii="宋体" w:hAnsi="宋体" w:eastAsia="宋体" w:cs="宋体"/>
                <w:sz w:val="21"/>
                <w:szCs w:val="21"/>
              </w:rPr>
            </w:pPr>
            <w:r>
              <w:rPr>
                <w:rFonts w:hint="eastAsia" w:ascii="宋体" w:hAnsi="宋体" w:eastAsia="宋体" w:cs="宋体"/>
                <w:sz w:val="21"/>
                <w:szCs w:val="21"/>
              </w:rPr>
              <w:t>账号：</w:t>
            </w:r>
          </w:p>
          <w:p>
            <w:pPr>
              <w:spacing w:line="240" w:lineRule="atLeast"/>
              <w:rPr>
                <w:rFonts w:hint="eastAsia" w:ascii="宋体" w:hAnsi="宋体" w:eastAsia="宋体" w:cs="宋体"/>
                <w:sz w:val="21"/>
                <w:szCs w:val="21"/>
              </w:rPr>
            </w:pPr>
            <w:r>
              <w:rPr>
                <w:rFonts w:hint="eastAsia" w:ascii="宋体" w:hAnsi="宋体" w:eastAsia="宋体" w:cs="宋体"/>
                <w:sz w:val="21"/>
                <w:szCs w:val="21"/>
              </w:rPr>
              <w:t>授权代表：</w:t>
            </w:r>
          </w:p>
          <w:p>
            <w:pPr>
              <w:widowControl/>
              <w:spacing w:line="240" w:lineRule="atLeast"/>
              <w:jc w:val="left"/>
              <w:rPr>
                <w:rFonts w:hint="eastAsia" w:ascii="宋体" w:hAnsi="宋体" w:eastAsia="宋体" w:cs="宋体"/>
                <w:sz w:val="21"/>
                <w:szCs w:val="21"/>
              </w:rPr>
            </w:pPr>
            <w:r>
              <w:rPr>
                <w:rFonts w:hint="eastAsia" w:ascii="宋体" w:hAnsi="宋体" w:eastAsia="宋体" w:cs="宋体"/>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tcPr>
          <w:p>
            <w:pPr>
              <w:spacing w:line="240" w:lineRule="atLeast"/>
              <w:rPr>
                <w:rFonts w:hint="eastAsia" w:ascii="宋体" w:hAnsi="宋体" w:eastAsia="宋体" w:cs="宋体"/>
                <w:sz w:val="21"/>
                <w:szCs w:val="21"/>
              </w:rPr>
            </w:pPr>
            <w:r>
              <w:rPr>
                <w:rFonts w:hint="eastAsia" w:ascii="宋体" w:hAnsi="宋体" w:eastAsia="宋体" w:cs="宋体"/>
                <w:sz w:val="21"/>
                <w:szCs w:val="21"/>
              </w:rPr>
              <w:t>备注：</w:t>
            </w:r>
          </w:p>
          <w:p>
            <w:pPr>
              <w:spacing w:line="240" w:lineRule="atLeast"/>
              <w:rPr>
                <w:rFonts w:hint="eastAsia" w:ascii="宋体" w:hAnsi="宋体" w:eastAsia="宋体" w:cs="宋体"/>
                <w:sz w:val="21"/>
                <w:szCs w:val="21"/>
              </w:rPr>
            </w:pPr>
          </w:p>
          <w:p>
            <w:pPr>
              <w:spacing w:line="240" w:lineRule="atLeast"/>
              <w:rPr>
                <w:rFonts w:hint="eastAsia" w:ascii="宋体" w:hAnsi="宋体" w:eastAsia="宋体" w:cs="宋体"/>
                <w:sz w:val="21"/>
                <w:szCs w:val="21"/>
              </w:rPr>
            </w:pPr>
          </w:p>
        </w:tc>
      </w:tr>
    </w:tbl>
    <w:p>
      <w:pPr>
        <w:rPr>
          <w:rFonts w:hint="eastAsia" w:ascii="宋体" w:hAnsi="宋体" w:eastAsia="宋体" w:cs="宋体"/>
          <w:sz w:val="24"/>
        </w:rPr>
      </w:pPr>
      <w:r>
        <w:rPr>
          <w:rFonts w:hint="eastAsia" w:ascii="宋体" w:hAnsi="宋体" w:eastAsia="宋体" w:cs="宋体"/>
          <w:sz w:val="24"/>
        </w:rPr>
        <w:t>签约时间：           年   月   日      签约地点：</w:t>
      </w:r>
    </w:p>
    <w:p>
      <w:pPr>
        <w:pStyle w:val="13"/>
        <w:rPr>
          <w:rFonts w:hint="eastAsia" w:ascii="宋体" w:hAnsi="宋体" w:eastAsia="宋体" w:cs="宋体"/>
          <w:sz w:val="32"/>
          <w:szCs w:val="32"/>
        </w:rPr>
      </w:pPr>
    </w:p>
    <w:p>
      <w:pPr>
        <w:pStyle w:val="13"/>
        <w:ind w:left="0"/>
        <w:rPr>
          <w:rFonts w:hint="eastAsia" w:ascii="宋体" w:hAnsi="宋体" w:eastAsia="宋体" w:cs="宋体"/>
        </w:rPr>
      </w:pPr>
    </w:p>
    <w:p>
      <w:pPr>
        <w:pStyle w:val="2"/>
        <w:numPr>
          <w:ilvl w:val="1"/>
          <w:numId w:val="0"/>
        </w:numPr>
        <w:spacing w:line="360" w:lineRule="auto"/>
        <w:jc w:val="center"/>
        <w:rPr>
          <w:rFonts w:hint="eastAsia" w:ascii="宋体" w:hAnsi="宋体" w:eastAsia="宋体" w:cs="宋体"/>
          <w:sz w:val="36"/>
          <w:szCs w:val="30"/>
        </w:rPr>
      </w:pPr>
      <w:bookmarkStart w:id="275" w:name="_Hlt41879464"/>
      <w:bookmarkEnd w:id="275"/>
      <w:bookmarkStart w:id="276" w:name="_Toc76462349"/>
      <w:bookmarkStart w:id="277" w:name="_Toc32031"/>
      <w:bookmarkStart w:id="278" w:name="_Toc106030905"/>
      <w:bookmarkStart w:id="279" w:name="_Toc1018"/>
      <w:bookmarkStart w:id="280" w:name="_Toc17388"/>
      <w:bookmarkStart w:id="281" w:name="_Toc12987"/>
      <w:bookmarkStart w:id="282" w:name="_Toc25458"/>
      <w:r>
        <w:rPr>
          <w:rFonts w:hint="eastAsia" w:ascii="宋体" w:hAnsi="宋体" w:eastAsia="宋体" w:cs="宋体"/>
          <w:sz w:val="36"/>
          <w:szCs w:val="30"/>
        </w:rPr>
        <w:t>第七篇  响应文件编制要求</w:t>
      </w:r>
      <w:bookmarkEnd w:id="276"/>
      <w:bookmarkEnd w:id="277"/>
      <w:bookmarkEnd w:id="278"/>
      <w:bookmarkEnd w:id="279"/>
      <w:bookmarkEnd w:id="280"/>
      <w:bookmarkEnd w:id="281"/>
      <w:bookmarkEnd w:id="282"/>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一、经济部分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（一）竞争性磋商报价函</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（二）分项报价明细表</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二、服务部分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（一）服务响应偏离表</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（二）其他资料（格式自定）</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三、商务部分</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（一）商务响应偏离表</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（二）其它优惠服务承诺（格式自定）</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四、资格条件及其他</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（一）法人营业执照（副本）或事业单位法人证书（副本）或个体工商户营业执照或有效的自然人身份证明或社会团体法人登记证书复印件</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（二）法定代表人身份证明书（格式）</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（三）法定代表人授权委托书（格式）</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（四）基本资格条件承诺函（格式）</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（五）特定资格条件证书或证明文件（如果有）</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五、其他资料</w:t>
      </w:r>
    </w:p>
    <w:p>
      <w:pPr>
        <w:spacing w:line="400" w:lineRule="exact"/>
        <w:ind w:left="476" w:leftChars="170"/>
        <w:rPr>
          <w:rFonts w:hint="eastAsia" w:ascii="宋体" w:hAnsi="宋体" w:eastAsia="宋体" w:cs="宋体"/>
          <w:sz w:val="24"/>
          <w:szCs w:val="24"/>
        </w:rPr>
        <w:sectPr>
          <w:footerReference r:id="rId9" w:type="default"/>
          <w:pgSz w:w="11907" w:h="16840"/>
          <w:pgMar w:top="1134" w:right="1191" w:bottom="1134" w:left="1304" w:header="851" w:footer="992" w:gutter="0"/>
          <w:pgNumType w:fmt="numberInDash"/>
          <w:cols w:space="720" w:num="1"/>
          <w:docGrid w:linePitch="380" w:charSpace="-5735"/>
        </w:sectPr>
      </w:pPr>
      <w:r>
        <w:rPr>
          <w:rFonts w:hint="eastAsia" w:ascii="宋体" w:hAnsi="宋体" w:eastAsia="宋体" w:cs="宋体"/>
          <w:sz w:val="24"/>
          <w:szCs w:val="24"/>
        </w:rPr>
        <w:t>其他与项目有关的资料</w:t>
      </w:r>
      <w:r>
        <w:rPr>
          <w:rFonts w:hint="eastAsia" w:ascii="宋体" w:hAnsi="宋体" w:eastAsia="宋体" w:cs="宋体"/>
          <w:sz w:val="24"/>
          <w:szCs w:val="24"/>
        </w:rPr>
        <w:br w:type="textWrapping"/>
      </w:r>
    </w:p>
    <w:p>
      <w:pPr>
        <w:pStyle w:val="2"/>
        <w:numPr>
          <w:ilvl w:val="1"/>
          <w:numId w:val="0"/>
        </w:numPr>
        <w:adjustRightInd w:val="0"/>
        <w:snapToGrid w:val="0"/>
        <w:spacing w:line="400" w:lineRule="exact"/>
        <w:rPr>
          <w:rFonts w:hint="eastAsia" w:ascii="宋体" w:hAnsi="宋体" w:eastAsia="宋体" w:cs="宋体"/>
          <w:b/>
          <w:bCs w:val="0"/>
          <w:sz w:val="24"/>
        </w:rPr>
      </w:pPr>
      <w:bookmarkStart w:id="283" w:name="_Toc106030906"/>
      <w:bookmarkStart w:id="284" w:name="_Toc313888360"/>
      <w:bookmarkStart w:id="285" w:name="_Toc31217"/>
      <w:bookmarkStart w:id="286" w:name="_Toc23464"/>
      <w:bookmarkStart w:id="287" w:name="_Toc342913419"/>
      <w:bookmarkStart w:id="288" w:name="_Toc313008356"/>
      <w:bookmarkStart w:id="289" w:name="_Toc12836"/>
      <w:bookmarkStart w:id="290" w:name="_Toc13360"/>
      <w:bookmarkStart w:id="291" w:name="_Toc6562"/>
      <w:bookmarkStart w:id="292" w:name="_Toc76462350"/>
      <w:bookmarkStart w:id="293" w:name="_Toc12789073"/>
      <w:bookmarkStart w:id="294" w:name="_Toc283382454"/>
      <w:r>
        <w:rPr>
          <w:rFonts w:hint="eastAsia" w:ascii="宋体" w:hAnsi="宋体" w:eastAsia="宋体" w:cs="宋体"/>
          <w:b/>
          <w:bCs w:val="0"/>
          <w:sz w:val="24"/>
        </w:rPr>
        <w:t>一、经济部分</w:t>
      </w:r>
      <w:bookmarkEnd w:id="283"/>
      <w:bookmarkEnd w:id="284"/>
      <w:bookmarkEnd w:id="285"/>
      <w:bookmarkEnd w:id="286"/>
      <w:bookmarkEnd w:id="287"/>
      <w:bookmarkEnd w:id="288"/>
      <w:bookmarkEnd w:id="289"/>
      <w:bookmarkEnd w:id="290"/>
      <w:bookmarkEnd w:id="291"/>
      <w:bookmarkEnd w:id="292"/>
    </w:p>
    <w:bookmarkEnd w:id="293"/>
    <w:bookmarkEnd w:id="294"/>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（一）竞争性磋商报价函</w:t>
      </w:r>
    </w:p>
    <w:p>
      <w:pPr>
        <w:jc w:val="center"/>
        <w:rPr>
          <w:rFonts w:hint="eastAsia" w:ascii="宋体" w:hAnsi="宋体" w:eastAsia="宋体" w:cs="宋体"/>
          <w:b/>
          <w:szCs w:val="28"/>
        </w:rPr>
      </w:pPr>
      <w:r>
        <w:rPr>
          <w:rFonts w:hint="eastAsia" w:ascii="宋体" w:hAnsi="宋体" w:eastAsia="宋体" w:cs="宋体"/>
          <w:b/>
          <w:szCs w:val="28"/>
        </w:rPr>
        <w:t>竞争性磋商报价函</w:t>
      </w:r>
    </w:p>
    <w:p>
      <w:pPr>
        <w:tabs>
          <w:tab w:val="left" w:pos="6300"/>
        </w:tabs>
        <w:snapToGrid w:val="0"/>
        <w:spacing w:line="312" w:lineRule="auto"/>
        <w:rPr>
          <w:rFonts w:hint="eastAsia" w:ascii="宋体" w:hAnsi="宋体" w:eastAsia="宋体" w:cs="宋体"/>
          <w:sz w:val="24"/>
          <w:szCs w:val="24"/>
        </w:rPr>
      </w:pPr>
      <w:r>
        <w:rPr>
          <w:rFonts w:hint="eastAsia" w:ascii="宋体" w:hAnsi="宋体" w:eastAsia="宋体" w:cs="宋体"/>
          <w:sz w:val="24"/>
          <w:szCs w:val="24"/>
          <w:u w:val="single"/>
        </w:rPr>
        <w:t>（采购代理机构名称）</w:t>
      </w:r>
      <w:r>
        <w:rPr>
          <w:rFonts w:hint="eastAsia" w:ascii="宋体" w:hAnsi="宋体" w:eastAsia="宋体" w:cs="宋体"/>
          <w:sz w:val="24"/>
          <w:szCs w:val="24"/>
        </w:rPr>
        <w:t>：</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1.愿意按照竞争性磋商文件中的一切要求，提供本项目的服务，初始报价为人民币大写：</w:t>
      </w:r>
      <w:r>
        <w:rPr>
          <w:rFonts w:hint="eastAsia" w:ascii="宋体" w:hAnsi="宋体" w:eastAsia="宋体" w:cs="宋体"/>
          <w:sz w:val="24"/>
          <w:szCs w:val="24"/>
          <w:u w:val="single"/>
        </w:rPr>
        <w:t xml:space="preserve">             </w:t>
      </w:r>
      <w:r>
        <w:rPr>
          <w:rFonts w:hint="eastAsia" w:ascii="宋体" w:hAnsi="宋体" w:eastAsia="宋体" w:cs="宋体"/>
          <w:sz w:val="24"/>
          <w:szCs w:val="24"/>
        </w:rPr>
        <w:t>元整，人民币小写：</w:t>
      </w:r>
      <w:r>
        <w:rPr>
          <w:rFonts w:hint="eastAsia" w:ascii="宋体" w:hAnsi="宋体" w:eastAsia="宋体" w:cs="宋体"/>
          <w:sz w:val="24"/>
          <w:szCs w:val="24"/>
          <w:u w:val="single"/>
        </w:rPr>
        <w:t xml:space="preserve">             </w:t>
      </w:r>
      <w:r>
        <w:rPr>
          <w:rFonts w:hint="eastAsia" w:ascii="宋体" w:hAnsi="宋体" w:eastAsia="宋体" w:cs="宋体"/>
          <w:sz w:val="24"/>
          <w:szCs w:val="24"/>
        </w:rPr>
        <w:t>元。以我公司最后报价为准。</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2.我方现提交的响应文件为：响应文件正本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份，副本</w:t>
      </w:r>
      <w:r>
        <w:rPr>
          <w:rFonts w:hint="eastAsia" w:ascii="宋体" w:hAnsi="宋体" w:eastAsia="宋体" w:cs="宋体"/>
          <w:sz w:val="24"/>
          <w:szCs w:val="24"/>
          <w:u w:val="single"/>
        </w:rPr>
        <w:t xml:space="preserve">   </w:t>
      </w:r>
      <w:r>
        <w:rPr>
          <w:rFonts w:hint="eastAsia" w:ascii="宋体" w:hAnsi="宋体" w:eastAsia="宋体" w:cs="宋体"/>
          <w:sz w:val="24"/>
          <w:szCs w:val="24"/>
        </w:rPr>
        <w:t>份，电子文档</w:t>
      </w:r>
      <w:r>
        <w:rPr>
          <w:rFonts w:hint="eastAsia" w:ascii="宋体" w:hAnsi="宋体" w:eastAsia="宋体" w:cs="宋体"/>
          <w:sz w:val="24"/>
          <w:szCs w:val="24"/>
          <w:u w:val="single"/>
        </w:rPr>
        <w:t xml:space="preserve">   </w:t>
      </w:r>
      <w:r>
        <w:rPr>
          <w:rFonts w:hint="eastAsia" w:ascii="宋体" w:hAnsi="宋体" w:eastAsia="宋体" w:cs="宋体"/>
          <w:sz w:val="24"/>
          <w:szCs w:val="24"/>
        </w:rPr>
        <w:t>份。</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3.我方承诺：本次磋商的有效期为提交响应文件截止时间起90天。</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4.我方完全理解和接受贵方竞争性磋商文件的一切规定和要求及评审办法。</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5.在整个竞争性磋商过程中，我方若有违规行为，接受按照《中华人民共和国政府采购法》和《竞争性磋商文件》之规定给予惩罚。</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7.如果我方成为成交供应商，保证在接到成交通知书后，向采购代理机构</w:t>
      </w:r>
      <w:r>
        <w:rPr>
          <w:rFonts w:hint="eastAsia" w:ascii="宋体" w:hAnsi="宋体" w:eastAsia="宋体" w:cs="宋体"/>
          <w:sz w:val="24"/>
        </w:rPr>
        <w:t>缴纳</w:t>
      </w:r>
      <w:r>
        <w:rPr>
          <w:rFonts w:hint="eastAsia" w:ascii="宋体" w:hAnsi="宋体" w:eastAsia="宋体" w:cs="宋体"/>
          <w:sz w:val="24"/>
          <w:szCs w:val="24"/>
        </w:rPr>
        <w:t>竞争性磋商文件规定的采购代理服务费。</w:t>
      </w:r>
    </w:p>
    <w:p>
      <w:pPr>
        <w:tabs>
          <w:tab w:val="left" w:pos="6300"/>
        </w:tabs>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8"/>
        </w:rPr>
        <w:t>我方未</w:t>
      </w:r>
      <w:r>
        <w:rPr>
          <w:rFonts w:hint="eastAsia" w:ascii="宋体" w:hAnsi="宋体" w:eastAsia="宋体" w:cs="宋体"/>
          <w:sz w:val="24"/>
          <w:szCs w:val="24"/>
        </w:rPr>
        <w:t>为采购项目提供整体设计、规范编制或者项目管理、监理、检测等服务。</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供应商（公章）或自然人签署：</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地址：  </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电话：                                             传真：</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网址：                                             邮编：</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联系人：</w:t>
      </w:r>
    </w:p>
    <w:p>
      <w:pPr>
        <w:snapToGrid w:val="0"/>
        <w:spacing w:line="312"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22"/>
        <w:rPr>
          <w:rFonts w:hint="eastAsia" w:ascii="宋体" w:hAnsi="宋体" w:eastAsia="宋体" w:cs="宋体"/>
          <w:sz w:val="24"/>
          <w:szCs w:val="24"/>
        </w:rPr>
      </w:pPr>
    </w:p>
    <w:p>
      <w:pPr>
        <w:rPr>
          <w:rFonts w:hint="eastAsia" w:ascii="宋体" w:hAnsi="宋体" w:eastAsia="宋体" w:cs="宋体"/>
          <w:sz w:val="24"/>
          <w:szCs w:val="24"/>
        </w:rPr>
      </w:pPr>
    </w:p>
    <w:p>
      <w:pPr>
        <w:pStyle w:val="22"/>
        <w:rPr>
          <w:rFonts w:hint="eastAsia" w:ascii="宋体" w:hAnsi="宋体" w:eastAsia="宋体" w:cs="宋体"/>
          <w:sz w:val="24"/>
          <w:szCs w:val="24"/>
        </w:rPr>
      </w:pPr>
    </w:p>
    <w:p>
      <w:pPr>
        <w:snapToGrid w:val="0"/>
        <w:spacing w:line="400" w:lineRule="exact"/>
        <w:ind w:firstLine="480" w:firstLineChars="200"/>
        <w:rPr>
          <w:rFonts w:hint="eastAsia" w:ascii="宋体" w:hAnsi="宋体" w:eastAsia="宋体" w:cs="宋体"/>
          <w:sz w:val="24"/>
          <w:szCs w:val="28"/>
        </w:rPr>
      </w:pPr>
    </w:p>
    <w:p>
      <w:pPr>
        <w:snapToGrid w:val="0"/>
        <w:spacing w:line="400" w:lineRule="exact"/>
        <w:ind w:firstLine="480" w:firstLineChars="200"/>
        <w:rPr>
          <w:rFonts w:hint="eastAsia" w:ascii="宋体" w:hAnsi="宋体" w:eastAsia="宋体" w:cs="宋体"/>
          <w:sz w:val="24"/>
          <w:szCs w:val="28"/>
        </w:rPr>
      </w:pPr>
    </w:p>
    <w:p>
      <w:pPr>
        <w:snapToGrid w:val="0"/>
        <w:spacing w:line="400" w:lineRule="exact"/>
        <w:ind w:firstLine="480" w:firstLineChars="200"/>
        <w:rPr>
          <w:rFonts w:hint="eastAsia" w:ascii="宋体" w:hAnsi="宋体" w:eastAsia="宋体" w:cs="宋体"/>
          <w:sz w:val="24"/>
          <w:szCs w:val="28"/>
        </w:rPr>
      </w:pPr>
    </w:p>
    <w:p>
      <w:pPr>
        <w:snapToGrid w:val="0"/>
        <w:spacing w:line="400" w:lineRule="exact"/>
        <w:ind w:firstLine="480" w:firstLineChars="200"/>
        <w:rPr>
          <w:rFonts w:hint="eastAsia" w:ascii="宋体" w:hAnsi="宋体" w:eastAsia="宋体" w:cs="宋体"/>
          <w:sz w:val="24"/>
          <w:szCs w:val="28"/>
        </w:rPr>
      </w:pPr>
    </w:p>
    <w:p>
      <w:pPr>
        <w:snapToGrid w:val="0"/>
        <w:spacing w:line="400" w:lineRule="exact"/>
        <w:ind w:firstLine="480" w:firstLineChars="200"/>
        <w:rPr>
          <w:rFonts w:hint="eastAsia" w:ascii="宋体" w:hAnsi="宋体" w:eastAsia="宋体" w:cs="宋体"/>
          <w:sz w:val="24"/>
          <w:szCs w:val="28"/>
        </w:rPr>
      </w:pPr>
    </w:p>
    <w:p>
      <w:pPr>
        <w:snapToGrid w:val="0"/>
        <w:spacing w:line="400" w:lineRule="exact"/>
        <w:ind w:firstLine="480" w:firstLineChars="200"/>
        <w:rPr>
          <w:rFonts w:hint="eastAsia" w:ascii="宋体" w:hAnsi="宋体" w:eastAsia="宋体" w:cs="宋体"/>
          <w:sz w:val="24"/>
          <w:szCs w:val="28"/>
        </w:rPr>
      </w:pPr>
    </w:p>
    <w:p>
      <w:pPr>
        <w:snapToGrid w:val="0"/>
        <w:spacing w:line="400" w:lineRule="exact"/>
        <w:ind w:firstLine="480" w:firstLineChars="200"/>
        <w:rPr>
          <w:rFonts w:hint="eastAsia" w:ascii="宋体" w:hAnsi="宋体" w:eastAsia="宋体" w:cs="宋体"/>
          <w:sz w:val="24"/>
          <w:szCs w:val="28"/>
        </w:rPr>
      </w:pPr>
    </w:p>
    <w:p>
      <w:pPr>
        <w:snapToGrid w:val="0"/>
        <w:spacing w:line="400" w:lineRule="exact"/>
        <w:ind w:firstLine="480" w:firstLineChars="200"/>
        <w:rPr>
          <w:rFonts w:hint="eastAsia" w:ascii="宋体" w:hAnsi="宋体" w:eastAsia="宋体" w:cs="宋体"/>
          <w:sz w:val="24"/>
          <w:szCs w:val="28"/>
        </w:rPr>
      </w:pPr>
    </w:p>
    <w:p>
      <w:pPr>
        <w:snapToGrid w:val="0"/>
        <w:spacing w:line="400" w:lineRule="exact"/>
        <w:ind w:firstLine="480" w:firstLineChars="200"/>
        <w:rPr>
          <w:rFonts w:hint="eastAsia" w:ascii="宋体" w:hAnsi="宋体" w:eastAsia="宋体" w:cs="宋体"/>
          <w:sz w:val="24"/>
          <w:szCs w:val="28"/>
        </w:rPr>
      </w:pPr>
    </w:p>
    <w:p>
      <w:pPr>
        <w:snapToGrid w:val="0"/>
        <w:spacing w:line="40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（二）分项报价明细表</w:t>
      </w:r>
    </w:p>
    <w:p>
      <w:pPr>
        <w:snapToGrid w:val="0"/>
        <w:spacing w:line="40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项目号：</w:t>
      </w:r>
    </w:p>
    <w:p>
      <w:pPr>
        <w:snapToGrid w:val="0"/>
        <w:spacing w:line="40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磋商项目名称：                                           单位：元</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934"/>
        <w:gridCol w:w="2474"/>
        <w:gridCol w:w="1242"/>
        <w:gridCol w:w="1242"/>
        <w:gridCol w:w="934"/>
        <w:gridCol w:w="93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485" w:type="pct"/>
            <w:noWrap w:val="0"/>
            <w:vAlign w:val="center"/>
          </w:tcPr>
          <w:p>
            <w:pPr>
              <w:snapToGrid w:val="0"/>
              <w:spacing w:line="400" w:lineRule="exact"/>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序号</w:t>
            </w:r>
          </w:p>
        </w:tc>
        <w:tc>
          <w:tcPr>
            <w:tcW w:w="485" w:type="pct"/>
            <w:noWrap w:val="0"/>
            <w:vAlign w:val="center"/>
          </w:tcPr>
          <w:p>
            <w:pPr>
              <w:snapToGrid w:val="0"/>
              <w:spacing w:line="400" w:lineRule="exact"/>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名称</w:t>
            </w:r>
          </w:p>
        </w:tc>
        <w:tc>
          <w:tcPr>
            <w:tcW w:w="1285" w:type="pct"/>
            <w:noWrap w:val="0"/>
            <w:vAlign w:val="center"/>
          </w:tcPr>
          <w:p>
            <w:pPr>
              <w:snapToGrid w:val="0"/>
              <w:spacing w:line="400" w:lineRule="exact"/>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品牌、规格型号</w:t>
            </w:r>
          </w:p>
        </w:tc>
        <w:tc>
          <w:tcPr>
            <w:tcW w:w="645" w:type="pct"/>
            <w:noWrap w:val="0"/>
            <w:vAlign w:val="center"/>
          </w:tcPr>
          <w:p>
            <w:pPr>
              <w:snapToGrid w:val="0"/>
              <w:spacing w:line="400" w:lineRule="exact"/>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制造商</w:t>
            </w:r>
          </w:p>
        </w:tc>
        <w:tc>
          <w:tcPr>
            <w:tcW w:w="645" w:type="pct"/>
            <w:noWrap w:val="0"/>
            <w:vAlign w:val="center"/>
          </w:tcPr>
          <w:p>
            <w:pPr>
              <w:snapToGrid w:val="0"/>
              <w:spacing w:line="400" w:lineRule="exact"/>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生产地</w:t>
            </w:r>
          </w:p>
        </w:tc>
        <w:tc>
          <w:tcPr>
            <w:tcW w:w="485" w:type="pct"/>
            <w:noWrap w:val="0"/>
            <w:vAlign w:val="center"/>
          </w:tcPr>
          <w:p>
            <w:pPr>
              <w:snapToGrid w:val="0"/>
              <w:spacing w:line="400" w:lineRule="exact"/>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数量</w:t>
            </w:r>
          </w:p>
        </w:tc>
        <w:tc>
          <w:tcPr>
            <w:tcW w:w="485" w:type="pct"/>
            <w:noWrap w:val="0"/>
            <w:vAlign w:val="center"/>
          </w:tcPr>
          <w:p>
            <w:pPr>
              <w:snapToGrid w:val="0"/>
              <w:spacing w:line="400" w:lineRule="exact"/>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单价</w:t>
            </w:r>
          </w:p>
        </w:tc>
        <w:tc>
          <w:tcPr>
            <w:tcW w:w="485" w:type="pct"/>
            <w:noWrap w:val="0"/>
            <w:vAlign w:val="center"/>
          </w:tcPr>
          <w:p>
            <w:pPr>
              <w:snapToGrid w:val="0"/>
              <w:spacing w:line="400" w:lineRule="exact"/>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1</w:t>
            </w: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128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2</w:t>
            </w: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128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3</w:t>
            </w: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128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4</w:t>
            </w: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128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5</w:t>
            </w: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128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6</w:t>
            </w: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128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7</w:t>
            </w: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128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8</w:t>
            </w: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128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center"/>
          </w:tcPr>
          <w:p>
            <w:pPr>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w:t>
            </w:r>
          </w:p>
        </w:tc>
        <w:tc>
          <w:tcPr>
            <w:tcW w:w="48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9</w:t>
            </w: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128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center"/>
          </w:tcPr>
          <w:p>
            <w:pPr>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w:t>
            </w:r>
          </w:p>
        </w:tc>
        <w:tc>
          <w:tcPr>
            <w:tcW w:w="48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10</w:t>
            </w:r>
          </w:p>
        </w:tc>
        <w:tc>
          <w:tcPr>
            <w:tcW w:w="485" w:type="pct"/>
            <w:noWrap w:val="0"/>
            <w:vAlign w:val="center"/>
          </w:tcPr>
          <w:p>
            <w:pPr>
              <w:jc w:val="center"/>
              <w:rPr>
                <w:rFonts w:hint="eastAsia" w:ascii="宋体" w:hAnsi="宋体" w:eastAsia="宋体" w:cs="宋体"/>
                <w:kern w:val="2"/>
                <w:sz w:val="24"/>
                <w:szCs w:val="28"/>
                <w:lang w:val="en-US" w:eastAsia="zh-CN" w:bidi="ar-SA"/>
              </w:rPr>
            </w:pPr>
          </w:p>
        </w:tc>
        <w:tc>
          <w:tcPr>
            <w:tcW w:w="128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center"/>
          </w:tcPr>
          <w:p>
            <w:pPr>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w:t>
            </w:r>
          </w:p>
        </w:tc>
        <w:tc>
          <w:tcPr>
            <w:tcW w:w="48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11</w:t>
            </w:r>
          </w:p>
        </w:tc>
        <w:tc>
          <w:tcPr>
            <w:tcW w:w="485" w:type="pct"/>
            <w:noWrap w:val="0"/>
            <w:vAlign w:val="center"/>
          </w:tcPr>
          <w:p>
            <w:pPr>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w:t>
            </w:r>
          </w:p>
        </w:tc>
        <w:tc>
          <w:tcPr>
            <w:tcW w:w="128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64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center"/>
          </w:tcPr>
          <w:p>
            <w:pPr>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w:t>
            </w:r>
          </w:p>
        </w:tc>
        <w:tc>
          <w:tcPr>
            <w:tcW w:w="485" w:type="pct"/>
            <w:noWrap w:val="0"/>
            <w:vAlign w:val="top"/>
          </w:tcPr>
          <w:p>
            <w:pPr>
              <w:jc w:val="center"/>
              <w:rPr>
                <w:rFonts w:hint="eastAsia" w:ascii="宋体" w:hAnsi="宋体" w:eastAsia="宋体" w:cs="宋体"/>
                <w:kern w:val="2"/>
                <w:sz w:val="24"/>
                <w:szCs w:val="28"/>
                <w:lang w:val="en-US" w:eastAsia="zh-CN" w:bidi="ar-SA"/>
              </w:rPr>
            </w:pPr>
          </w:p>
        </w:tc>
        <w:tc>
          <w:tcPr>
            <w:tcW w:w="485" w:type="pct"/>
            <w:noWrap w:val="0"/>
            <w:vAlign w:val="top"/>
          </w:tcPr>
          <w:p>
            <w:pPr>
              <w:jc w:val="center"/>
              <w:rPr>
                <w:rFonts w:hint="eastAsia" w:ascii="宋体" w:hAnsi="宋体" w:eastAsia="宋体" w:cs="宋体"/>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85" w:type="pct"/>
            <w:noWrap w:val="0"/>
            <w:vAlign w:val="center"/>
          </w:tcPr>
          <w:p>
            <w:pPr>
              <w:pStyle w:val="13"/>
              <w:spacing w:line="240" w:lineRule="auto"/>
              <w:ind w:left="0"/>
              <w:jc w:val="center"/>
              <w:outlineLvl w:val="0"/>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12</w:t>
            </w:r>
          </w:p>
        </w:tc>
        <w:tc>
          <w:tcPr>
            <w:tcW w:w="485" w:type="pct"/>
            <w:noWrap w:val="0"/>
            <w:vAlign w:val="center"/>
          </w:tcPr>
          <w:p>
            <w:pPr>
              <w:jc w:val="center"/>
              <w:rPr>
                <w:rFonts w:hint="eastAsia" w:ascii="宋体" w:hAnsi="宋体" w:eastAsia="宋体" w:cs="宋体"/>
                <w:kern w:val="2"/>
                <w:sz w:val="24"/>
                <w:szCs w:val="28"/>
                <w:lang w:val="en-US" w:eastAsia="zh-CN" w:bidi="ar-SA"/>
              </w:rPr>
            </w:pPr>
            <w:r>
              <w:rPr>
                <w:rFonts w:hint="eastAsia" w:ascii="宋体" w:hAnsi="宋体" w:eastAsia="宋体" w:cs="宋体"/>
                <w:kern w:val="2"/>
                <w:sz w:val="24"/>
                <w:szCs w:val="28"/>
                <w:lang w:val="en-US" w:eastAsia="zh-CN" w:bidi="ar-SA"/>
              </w:rPr>
              <w:t>总计</w:t>
            </w:r>
          </w:p>
        </w:tc>
        <w:tc>
          <w:tcPr>
            <w:tcW w:w="4030" w:type="pct"/>
            <w:gridSpan w:val="6"/>
            <w:noWrap w:val="0"/>
            <w:vAlign w:val="top"/>
          </w:tcPr>
          <w:p>
            <w:pPr>
              <w:rPr>
                <w:rFonts w:hint="eastAsia" w:ascii="宋体" w:hAnsi="宋体" w:eastAsia="宋体" w:cs="宋体"/>
                <w:kern w:val="2"/>
                <w:sz w:val="24"/>
                <w:szCs w:val="28"/>
                <w:lang w:val="en-US" w:eastAsia="zh-CN" w:bidi="ar-SA"/>
              </w:rPr>
            </w:pPr>
          </w:p>
        </w:tc>
      </w:tr>
    </w:tbl>
    <w:p>
      <w:pPr>
        <w:spacing w:line="500" w:lineRule="exact"/>
        <w:ind w:firstLine="480" w:firstLineChars="200"/>
        <w:rPr>
          <w:rFonts w:hint="eastAsia" w:ascii="宋体" w:hAnsi="宋体" w:eastAsia="宋体" w:cs="宋体"/>
          <w:sz w:val="24"/>
          <w:szCs w:val="28"/>
        </w:rPr>
      </w:pPr>
    </w:p>
    <w:p>
      <w:pPr>
        <w:spacing w:line="500" w:lineRule="exact"/>
        <w:ind w:firstLine="600" w:firstLineChars="250"/>
        <w:rPr>
          <w:rFonts w:hint="eastAsia" w:ascii="宋体" w:hAnsi="宋体" w:eastAsia="宋体" w:cs="宋体"/>
          <w:sz w:val="24"/>
          <w:szCs w:val="28"/>
        </w:rPr>
      </w:pPr>
      <w:r>
        <w:rPr>
          <w:rFonts w:hint="eastAsia" w:ascii="宋体" w:hAnsi="宋体" w:eastAsia="宋体" w:cs="宋体"/>
          <w:sz w:val="24"/>
          <w:szCs w:val="28"/>
        </w:rPr>
        <w:t>供应商：                       法定代表人（或法定代表人授权代表）或自然人：</w:t>
      </w:r>
    </w:p>
    <w:p>
      <w:pPr>
        <w:spacing w:line="500" w:lineRule="exact"/>
        <w:rPr>
          <w:rFonts w:hint="eastAsia" w:ascii="宋体" w:hAnsi="宋体" w:eastAsia="宋体" w:cs="宋体"/>
          <w:sz w:val="24"/>
          <w:szCs w:val="28"/>
        </w:rPr>
      </w:pPr>
      <w:r>
        <w:rPr>
          <w:rFonts w:hint="eastAsia" w:ascii="宋体" w:hAnsi="宋体" w:eastAsia="宋体" w:cs="宋体"/>
          <w:sz w:val="24"/>
          <w:szCs w:val="28"/>
        </w:rPr>
        <w:t xml:space="preserve">  （供应商公章）                               （签署或盖章）</w:t>
      </w:r>
    </w:p>
    <w:p>
      <w:pPr>
        <w:spacing w:line="500" w:lineRule="exact"/>
        <w:rPr>
          <w:rFonts w:hint="eastAsia" w:ascii="宋体" w:hAnsi="宋体" w:eastAsia="宋体" w:cs="宋体"/>
          <w:sz w:val="24"/>
          <w:szCs w:val="28"/>
        </w:rPr>
      </w:pPr>
    </w:p>
    <w:p>
      <w:pPr>
        <w:spacing w:line="500" w:lineRule="exact"/>
        <w:rPr>
          <w:rFonts w:hint="eastAsia" w:ascii="宋体" w:hAnsi="宋体" w:eastAsia="宋体" w:cs="宋体"/>
          <w:sz w:val="24"/>
          <w:szCs w:val="28"/>
        </w:rPr>
      </w:pPr>
    </w:p>
    <w:p>
      <w:pPr>
        <w:snapToGrid w:val="0"/>
        <w:spacing w:line="50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 xml:space="preserve">                                            年     月     日</w:t>
      </w:r>
    </w:p>
    <w:p>
      <w:pPr>
        <w:snapToGrid w:val="0"/>
        <w:spacing w:line="500" w:lineRule="exact"/>
        <w:ind w:firstLine="480" w:firstLineChars="200"/>
        <w:rPr>
          <w:rFonts w:hint="eastAsia" w:ascii="宋体" w:hAnsi="宋体" w:eastAsia="宋体" w:cs="宋体"/>
          <w:sz w:val="24"/>
          <w:szCs w:val="28"/>
        </w:rPr>
      </w:pPr>
    </w:p>
    <w:p>
      <w:pPr>
        <w:snapToGrid w:val="0"/>
        <w:spacing w:line="50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注：</w:t>
      </w:r>
    </w:p>
    <w:p>
      <w:pPr>
        <w:snapToGrid w:val="0"/>
        <w:spacing w:line="50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1.请供应商完整填写本表；</w:t>
      </w:r>
    </w:p>
    <w:p>
      <w:pPr>
        <w:snapToGrid w:val="0"/>
        <w:spacing w:line="500" w:lineRule="exact"/>
        <w:ind w:firstLine="480" w:firstLineChars="200"/>
        <w:rPr>
          <w:rFonts w:hint="eastAsia" w:ascii="宋体" w:hAnsi="宋体" w:eastAsia="宋体" w:cs="宋体"/>
          <w:sz w:val="24"/>
          <w:szCs w:val="28"/>
        </w:rPr>
      </w:pPr>
      <w:r>
        <w:rPr>
          <w:rFonts w:hint="eastAsia" w:ascii="宋体" w:hAnsi="宋体" w:eastAsia="宋体" w:cs="宋体"/>
          <w:sz w:val="24"/>
          <w:szCs w:val="28"/>
        </w:rPr>
        <w:t>2.该表可扩展。</w:t>
      </w:r>
    </w:p>
    <w:p>
      <w:pPr>
        <w:rPr>
          <w:rFonts w:hint="eastAsia" w:ascii="宋体" w:hAnsi="宋体" w:eastAsia="宋体" w:cs="宋体"/>
        </w:rPr>
        <w:sectPr>
          <w:pgSz w:w="11907" w:h="16840"/>
          <w:pgMar w:top="1134" w:right="1191" w:bottom="1134" w:left="1304" w:header="851" w:footer="992" w:gutter="0"/>
          <w:pgNumType w:fmt="numberInDash"/>
          <w:cols w:space="720" w:num="1"/>
          <w:docGrid w:linePitch="380" w:charSpace="-5735"/>
        </w:sectPr>
      </w:pPr>
    </w:p>
    <w:p>
      <w:pPr>
        <w:pStyle w:val="2"/>
        <w:numPr>
          <w:ilvl w:val="1"/>
          <w:numId w:val="0"/>
        </w:numPr>
        <w:adjustRightInd w:val="0"/>
        <w:snapToGrid w:val="0"/>
        <w:spacing w:line="400" w:lineRule="exact"/>
        <w:rPr>
          <w:rFonts w:hint="eastAsia" w:ascii="宋体" w:hAnsi="宋体" w:eastAsia="宋体" w:cs="宋体"/>
          <w:b/>
          <w:bCs w:val="0"/>
          <w:sz w:val="24"/>
        </w:rPr>
      </w:pPr>
      <w:bookmarkStart w:id="295" w:name="_Toc342913420"/>
      <w:bookmarkStart w:id="296" w:name="_Toc106030907"/>
      <w:bookmarkStart w:id="297" w:name="_Toc313008357"/>
      <w:bookmarkStart w:id="298" w:name="_Toc313888361"/>
      <w:bookmarkStart w:id="299" w:name="_Toc10029"/>
      <w:bookmarkStart w:id="300" w:name="_Toc23030"/>
      <w:bookmarkStart w:id="301" w:name="_Toc6100"/>
      <w:bookmarkStart w:id="302" w:name="_Toc21115"/>
      <w:bookmarkStart w:id="303" w:name="_Toc76462351"/>
      <w:bookmarkStart w:id="304" w:name="_Toc6668"/>
      <w:r>
        <w:rPr>
          <w:rFonts w:hint="eastAsia" w:ascii="宋体" w:hAnsi="宋体" w:eastAsia="宋体" w:cs="宋体"/>
          <w:b/>
          <w:bCs w:val="0"/>
          <w:sz w:val="24"/>
        </w:rPr>
        <w:t>二、服务部分</w:t>
      </w:r>
      <w:bookmarkEnd w:id="295"/>
      <w:bookmarkEnd w:id="296"/>
      <w:bookmarkEnd w:id="297"/>
      <w:bookmarkEnd w:id="298"/>
      <w:bookmarkEnd w:id="299"/>
      <w:bookmarkEnd w:id="300"/>
      <w:bookmarkEnd w:id="301"/>
      <w:bookmarkEnd w:id="302"/>
      <w:bookmarkEnd w:id="303"/>
      <w:bookmarkEnd w:id="304"/>
    </w:p>
    <w:p>
      <w:pPr>
        <w:tabs>
          <w:tab w:val="left" w:pos="6300"/>
        </w:tabs>
        <w:snapToGrid w:val="0"/>
        <w:spacing w:line="400" w:lineRule="exact"/>
        <w:ind w:firstLine="480" w:firstLineChars="200"/>
        <w:rPr>
          <w:rFonts w:hint="eastAsia" w:ascii="宋体" w:hAnsi="宋体" w:eastAsia="宋体" w:cs="宋体"/>
          <w:szCs w:val="24"/>
        </w:rPr>
      </w:pPr>
      <w:r>
        <w:rPr>
          <w:rFonts w:hint="eastAsia" w:ascii="宋体" w:hAnsi="宋体" w:eastAsia="宋体" w:cs="宋体"/>
          <w:sz w:val="24"/>
          <w:szCs w:val="24"/>
        </w:rPr>
        <w:t>（一）服务响应偏离表</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项目号：                                </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磋商项目名称：</w:t>
      </w:r>
    </w:p>
    <w:tbl>
      <w:tblPr>
        <w:tblStyle w:val="2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hint="eastAsia" w:ascii="宋体" w:hAnsi="宋体" w:eastAsia="宋体" w:cs="宋体"/>
                <w:sz w:val="21"/>
                <w:szCs w:val="21"/>
              </w:rPr>
            </w:pPr>
            <w:bookmarkStart w:id="305" w:name="_Toc18309"/>
            <w:r>
              <w:rPr>
                <w:rFonts w:hint="eastAsia" w:ascii="宋体" w:hAnsi="宋体" w:eastAsia="宋体" w:cs="宋体"/>
                <w:sz w:val="21"/>
                <w:szCs w:val="21"/>
              </w:rPr>
              <w:t>序号</w:t>
            </w:r>
            <w:bookmarkEnd w:id="305"/>
          </w:p>
        </w:tc>
        <w:tc>
          <w:tcPr>
            <w:tcW w:w="2967" w:type="dxa"/>
            <w:vAlign w:val="center"/>
          </w:tcPr>
          <w:p>
            <w:pPr>
              <w:tabs>
                <w:tab w:val="left" w:pos="6300"/>
              </w:tabs>
              <w:snapToGrid w:val="0"/>
              <w:spacing w:line="500" w:lineRule="exact"/>
              <w:jc w:val="center"/>
              <w:outlineLvl w:val="0"/>
              <w:rPr>
                <w:rFonts w:hint="eastAsia" w:ascii="宋体" w:hAnsi="宋体" w:eastAsia="宋体" w:cs="宋体"/>
                <w:sz w:val="21"/>
                <w:szCs w:val="21"/>
              </w:rPr>
            </w:pPr>
            <w:bookmarkStart w:id="306" w:name="_Toc7159"/>
            <w:r>
              <w:rPr>
                <w:rFonts w:hint="eastAsia" w:ascii="宋体" w:hAnsi="宋体" w:eastAsia="宋体" w:cs="宋体"/>
                <w:sz w:val="21"/>
                <w:szCs w:val="21"/>
              </w:rPr>
              <w:t>采购需求</w:t>
            </w:r>
            <w:bookmarkEnd w:id="306"/>
          </w:p>
        </w:tc>
        <w:tc>
          <w:tcPr>
            <w:tcW w:w="3081" w:type="dxa"/>
            <w:vAlign w:val="center"/>
          </w:tcPr>
          <w:p>
            <w:pPr>
              <w:tabs>
                <w:tab w:val="left" w:pos="6300"/>
              </w:tabs>
              <w:snapToGrid w:val="0"/>
              <w:spacing w:line="500" w:lineRule="exact"/>
              <w:jc w:val="center"/>
              <w:outlineLvl w:val="0"/>
              <w:rPr>
                <w:rFonts w:hint="eastAsia" w:ascii="宋体" w:hAnsi="宋体" w:eastAsia="宋体" w:cs="宋体"/>
                <w:sz w:val="21"/>
                <w:szCs w:val="21"/>
              </w:rPr>
            </w:pPr>
            <w:bookmarkStart w:id="307" w:name="_Toc8879"/>
            <w:r>
              <w:rPr>
                <w:rFonts w:hint="eastAsia" w:ascii="宋体" w:hAnsi="宋体" w:eastAsia="宋体" w:cs="宋体"/>
                <w:sz w:val="21"/>
                <w:szCs w:val="21"/>
              </w:rPr>
              <w:t>响应情况</w:t>
            </w:r>
            <w:bookmarkEnd w:id="307"/>
          </w:p>
        </w:tc>
        <w:tc>
          <w:tcPr>
            <w:tcW w:w="2309" w:type="dxa"/>
            <w:vAlign w:val="center"/>
          </w:tcPr>
          <w:p>
            <w:pPr>
              <w:tabs>
                <w:tab w:val="left" w:pos="6300"/>
              </w:tabs>
              <w:snapToGrid w:val="0"/>
              <w:spacing w:line="500" w:lineRule="exact"/>
              <w:jc w:val="center"/>
              <w:outlineLvl w:val="0"/>
              <w:rPr>
                <w:rFonts w:hint="eastAsia" w:ascii="宋体" w:hAnsi="宋体" w:eastAsia="宋体" w:cs="宋体"/>
                <w:sz w:val="21"/>
                <w:szCs w:val="21"/>
              </w:rPr>
            </w:pPr>
            <w:bookmarkStart w:id="308" w:name="_Toc12296"/>
            <w:r>
              <w:rPr>
                <w:rFonts w:hint="eastAsia" w:ascii="宋体" w:hAnsi="宋体" w:eastAsia="宋体" w:cs="宋体"/>
                <w:sz w:val="21"/>
                <w:szCs w:val="21"/>
              </w:rPr>
              <w:t>差异说明</w:t>
            </w:r>
            <w:bookmarkEnd w:id="3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967"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3081" w:type="dxa"/>
            <w:vAlign w:val="center"/>
          </w:tcPr>
          <w:p>
            <w:pPr>
              <w:tabs>
                <w:tab w:val="left" w:pos="6300"/>
              </w:tabs>
              <w:snapToGrid w:val="0"/>
              <w:spacing w:line="500" w:lineRule="exact"/>
              <w:outlineLvl w:val="0"/>
              <w:rPr>
                <w:rFonts w:hint="eastAsia" w:ascii="宋体" w:hAnsi="宋体" w:eastAsia="宋体" w:cs="宋体"/>
                <w:sz w:val="21"/>
                <w:szCs w:val="21"/>
              </w:rPr>
            </w:pPr>
          </w:p>
        </w:tc>
        <w:tc>
          <w:tcPr>
            <w:tcW w:w="2309"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967"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308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309"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967"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308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309"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967"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308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309"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967"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308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309"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967"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308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309"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967"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308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309"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967"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308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309"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967"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308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309"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967"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3081"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c>
          <w:tcPr>
            <w:tcW w:w="2309" w:type="dxa"/>
            <w:vAlign w:val="center"/>
          </w:tcPr>
          <w:p>
            <w:pPr>
              <w:tabs>
                <w:tab w:val="left" w:pos="6300"/>
              </w:tabs>
              <w:snapToGrid w:val="0"/>
              <w:spacing w:line="500" w:lineRule="exact"/>
              <w:jc w:val="center"/>
              <w:outlineLvl w:val="0"/>
              <w:rPr>
                <w:rFonts w:hint="eastAsia" w:ascii="宋体" w:hAnsi="宋体" w:eastAsia="宋体" w:cs="宋体"/>
                <w:sz w:val="21"/>
                <w:szCs w:val="21"/>
              </w:rPr>
            </w:pPr>
          </w:p>
        </w:tc>
      </w:tr>
    </w:tbl>
    <w:p>
      <w:pPr>
        <w:spacing w:line="500" w:lineRule="exact"/>
        <w:ind w:firstLine="600" w:firstLineChars="250"/>
        <w:rPr>
          <w:rFonts w:hint="eastAsia" w:ascii="宋体" w:hAnsi="宋体" w:eastAsia="宋体" w:cs="宋体"/>
          <w:sz w:val="24"/>
          <w:szCs w:val="28"/>
        </w:rPr>
      </w:pPr>
      <w:r>
        <w:rPr>
          <w:rFonts w:hint="eastAsia" w:ascii="宋体" w:hAnsi="宋体" w:eastAsia="宋体" w:cs="宋体"/>
          <w:sz w:val="24"/>
          <w:szCs w:val="28"/>
        </w:rPr>
        <w:t xml:space="preserve">供应商：                            </w:t>
      </w:r>
      <w:r>
        <w:rPr>
          <w:rFonts w:hint="eastAsia" w:ascii="宋体" w:hAnsi="宋体" w:eastAsia="宋体" w:cs="宋体"/>
          <w:sz w:val="24"/>
          <w:szCs w:val="24"/>
        </w:rPr>
        <w:t>法定代表人（或其授权代表）或自然人：</w:t>
      </w:r>
    </w:p>
    <w:p>
      <w:pPr>
        <w:spacing w:line="500" w:lineRule="exact"/>
        <w:rPr>
          <w:rFonts w:hint="eastAsia" w:ascii="宋体" w:hAnsi="宋体" w:eastAsia="宋体" w:cs="宋体"/>
          <w:sz w:val="24"/>
          <w:szCs w:val="28"/>
        </w:rPr>
      </w:pPr>
    </w:p>
    <w:p>
      <w:pPr>
        <w:spacing w:line="500" w:lineRule="exact"/>
        <w:ind w:firstLine="720" w:firstLineChars="300"/>
        <w:rPr>
          <w:rFonts w:hint="eastAsia" w:ascii="宋体" w:hAnsi="宋体" w:eastAsia="宋体" w:cs="宋体"/>
          <w:sz w:val="24"/>
          <w:szCs w:val="28"/>
        </w:rPr>
      </w:pPr>
      <w:r>
        <w:rPr>
          <w:rFonts w:hint="eastAsia" w:ascii="宋体" w:hAnsi="宋体" w:eastAsia="宋体" w:cs="宋体"/>
          <w:sz w:val="24"/>
          <w:szCs w:val="28"/>
        </w:rPr>
        <w:t>（供应商公章）                               （签署或盖章）</w:t>
      </w:r>
    </w:p>
    <w:p>
      <w:pPr>
        <w:tabs>
          <w:tab w:val="left" w:pos="6300"/>
        </w:tabs>
        <w:snapToGrid w:val="0"/>
        <w:spacing w:line="500" w:lineRule="exact"/>
        <w:ind w:firstLine="570"/>
        <w:rPr>
          <w:rFonts w:hint="eastAsia" w:ascii="宋体" w:hAnsi="宋体" w:eastAsia="宋体" w:cs="宋体"/>
          <w:sz w:val="24"/>
        </w:rPr>
      </w:pPr>
      <w:r>
        <w:rPr>
          <w:rFonts w:hint="eastAsia" w:ascii="宋体" w:hAnsi="宋体" w:eastAsia="宋体" w:cs="宋体"/>
          <w:sz w:val="24"/>
          <w:szCs w:val="28"/>
        </w:rPr>
        <w:t xml:space="preserve">                                              年     月     日</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注：</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szCs w:val="24"/>
        </w:rPr>
        <w:t>1</w:t>
      </w:r>
      <w:r>
        <w:rPr>
          <w:rFonts w:hint="eastAsia" w:ascii="宋体" w:hAnsi="宋体" w:eastAsia="宋体" w:cs="宋体"/>
          <w:sz w:val="24"/>
        </w:rPr>
        <w:t>.</w:t>
      </w:r>
      <w:r>
        <w:rPr>
          <w:rFonts w:hint="eastAsia" w:ascii="宋体" w:hAnsi="宋体" w:eastAsia="宋体" w:cs="宋体"/>
          <w:sz w:val="24"/>
          <w:szCs w:val="24"/>
        </w:rPr>
        <w:t>本表即为对本项目“第二篇  项目服务需求”中所列条款进行比较和响应；</w:t>
      </w:r>
    </w:p>
    <w:p>
      <w:pPr>
        <w:snapToGrid w:val="0"/>
        <w:spacing w:line="400" w:lineRule="exact"/>
        <w:ind w:firstLine="480" w:firstLineChars="200"/>
        <w:jc w:val="left"/>
        <w:rPr>
          <w:rFonts w:hint="eastAsia" w:ascii="宋体" w:hAnsi="宋体" w:eastAsia="宋体" w:cs="宋体"/>
          <w:sz w:val="24"/>
        </w:rPr>
      </w:pPr>
      <w:r>
        <w:rPr>
          <w:rFonts w:hint="eastAsia" w:ascii="宋体" w:hAnsi="宋体" w:eastAsia="宋体" w:cs="宋体"/>
          <w:sz w:val="24"/>
        </w:rPr>
        <w:t>2.本表可扩展。</w:t>
      </w:r>
    </w:p>
    <w:p>
      <w:pPr>
        <w:tabs>
          <w:tab w:val="left" w:pos="6300"/>
        </w:tabs>
        <w:snapToGrid w:val="0"/>
        <w:spacing w:line="400" w:lineRule="exact"/>
        <w:ind w:firstLine="480" w:firstLineChars="200"/>
        <w:rPr>
          <w:rFonts w:hint="eastAsia" w:ascii="宋体" w:hAnsi="宋体" w:eastAsia="宋体" w:cs="宋体"/>
          <w:sz w:val="24"/>
          <w:szCs w:val="24"/>
        </w:rPr>
      </w:pPr>
    </w:p>
    <w:p>
      <w:pPr>
        <w:tabs>
          <w:tab w:val="left" w:pos="6300"/>
        </w:tabs>
        <w:snapToGrid w:val="0"/>
        <w:spacing w:line="400" w:lineRule="exact"/>
        <w:ind w:firstLine="480" w:firstLineChars="200"/>
        <w:rPr>
          <w:rFonts w:hint="eastAsia" w:ascii="宋体" w:hAnsi="宋体" w:eastAsia="宋体" w:cs="宋体"/>
          <w:sz w:val="24"/>
          <w:szCs w:val="24"/>
        </w:rPr>
      </w:pPr>
    </w:p>
    <w:p>
      <w:pPr>
        <w:tabs>
          <w:tab w:val="left" w:pos="6300"/>
        </w:tabs>
        <w:snapToGrid w:val="0"/>
        <w:spacing w:line="400" w:lineRule="exact"/>
        <w:ind w:firstLine="480" w:firstLineChars="200"/>
        <w:rPr>
          <w:rFonts w:hint="eastAsia" w:ascii="宋体" w:hAnsi="宋体" w:eastAsia="宋体" w:cs="宋体"/>
          <w:sz w:val="24"/>
          <w:szCs w:val="24"/>
        </w:rPr>
      </w:pPr>
    </w:p>
    <w:p>
      <w:pPr>
        <w:tabs>
          <w:tab w:val="left" w:pos="6300"/>
        </w:tabs>
        <w:snapToGrid w:val="0"/>
        <w:spacing w:line="400" w:lineRule="exact"/>
        <w:ind w:firstLine="480" w:firstLineChars="200"/>
        <w:rPr>
          <w:rFonts w:hint="eastAsia" w:ascii="宋体" w:hAnsi="宋体" w:eastAsia="宋体" w:cs="宋体"/>
          <w:sz w:val="24"/>
          <w:szCs w:val="24"/>
        </w:rPr>
      </w:pPr>
    </w:p>
    <w:p>
      <w:pPr>
        <w:pStyle w:val="12"/>
        <w:rPr>
          <w:rFonts w:hint="eastAsia" w:ascii="宋体" w:hAnsi="宋体" w:eastAsia="宋体" w:cs="宋体"/>
        </w:rPr>
      </w:pPr>
    </w:p>
    <w:p>
      <w:pPr>
        <w:tabs>
          <w:tab w:val="left" w:pos="6300"/>
        </w:tabs>
        <w:snapToGrid w:val="0"/>
        <w:spacing w:line="400" w:lineRule="exact"/>
        <w:ind w:firstLine="480" w:firstLineChars="200"/>
        <w:rPr>
          <w:rFonts w:hint="eastAsia" w:ascii="宋体" w:hAnsi="宋体" w:eastAsia="宋体" w:cs="宋体"/>
          <w:sz w:val="24"/>
          <w:szCs w:val="24"/>
        </w:rPr>
      </w:pPr>
    </w:p>
    <w:p>
      <w:pPr>
        <w:tabs>
          <w:tab w:val="left" w:pos="6300"/>
        </w:tabs>
        <w:snapToGrid w:val="0"/>
        <w:spacing w:line="400" w:lineRule="exact"/>
        <w:ind w:firstLine="480" w:firstLineChars="200"/>
        <w:rPr>
          <w:rFonts w:hint="eastAsia" w:ascii="宋体" w:hAnsi="宋体" w:eastAsia="宋体" w:cs="宋体"/>
          <w:szCs w:val="24"/>
        </w:rPr>
      </w:pPr>
      <w:r>
        <w:rPr>
          <w:rFonts w:hint="eastAsia" w:ascii="宋体" w:hAnsi="宋体" w:eastAsia="宋体" w:cs="宋体"/>
          <w:sz w:val="24"/>
          <w:szCs w:val="24"/>
        </w:rPr>
        <w:t>（二）其他资料（格式自定）</w:t>
      </w:r>
    </w:p>
    <w:p>
      <w:pPr>
        <w:pStyle w:val="2"/>
        <w:numPr>
          <w:ilvl w:val="1"/>
          <w:numId w:val="0"/>
        </w:numPr>
        <w:adjustRightInd w:val="0"/>
        <w:snapToGrid w:val="0"/>
        <w:spacing w:line="400" w:lineRule="exact"/>
        <w:ind w:left="560" w:leftChars="200"/>
        <w:rPr>
          <w:rFonts w:hint="eastAsia" w:ascii="宋体" w:hAnsi="宋体" w:eastAsia="宋体" w:cs="宋体"/>
          <w:sz w:val="24"/>
        </w:rPr>
      </w:pPr>
      <w:r>
        <w:rPr>
          <w:rFonts w:hint="eastAsia" w:ascii="宋体" w:hAnsi="宋体" w:eastAsia="宋体" w:cs="宋体"/>
        </w:rPr>
        <w:br w:type="page"/>
      </w:r>
      <w:bookmarkStart w:id="309" w:name="_Toc313888362"/>
      <w:bookmarkStart w:id="310" w:name="_Toc76462352"/>
      <w:bookmarkStart w:id="311" w:name="_Toc32555"/>
      <w:bookmarkStart w:id="312" w:name="_Toc106030908"/>
      <w:bookmarkStart w:id="313" w:name="_Toc27486"/>
      <w:bookmarkStart w:id="314" w:name="_Toc342913421"/>
      <w:bookmarkStart w:id="315" w:name="_Toc30485"/>
      <w:bookmarkStart w:id="316" w:name="_Toc13584"/>
      <w:bookmarkStart w:id="317" w:name="_Toc313008358"/>
      <w:bookmarkStart w:id="318" w:name="_Toc2769"/>
      <w:r>
        <w:rPr>
          <w:rFonts w:hint="eastAsia" w:ascii="宋体" w:hAnsi="宋体" w:eastAsia="宋体" w:cs="宋体"/>
          <w:b/>
          <w:bCs w:val="0"/>
          <w:sz w:val="24"/>
        </w:rPr>
        <w:t>三、商务部分</w:t>
      </w:r>
      <w:bookmarkEnd w:id="309"/>
      <w:bookmarkEnd w:id="310"/>
      <w:bookmarkEnd w:id="311"/>
      <w:bookmarkEnd w:id="312"/>
      <w:bookmarkEnd w:id="313"/>
      <w:bookmarkEnd w:id="314"/>
      <w:bookmarkEnd w:id="315"/>
      <w:bookmarkEnd w:id="316"/>
      <w:bookmarkEnd w:id="317"/>
      <w:bookmarkEnd w:id="318"/>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（一）商务响应偏离表</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项目号：                                </w:t>
      </w:r>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磋商项目名称： </w:t>
      </w:r>
    </w:p>
    <w:tbl>
      <w:tblPr>
        <w:tblStyle w:val="28"/>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hint="eastAsia" w:ascii="宋体" w:hAnsi="宋体" w:eastAsia="宋体" w:cs="宋体"/>
                <w:sz w:val="21"/>
                <w:szCs w:val="24"/>
              </w:rPr>
            </w:pPr>
            <w:r>
              <w:rPr>
                <w:rFonts w:hint="eastAsia" w:ascii="宋体" w:hAnsi="宋体" w:eastAsia="宋体" w:cs="宋体"/>
                <w:sz w:val="21"/>
                <w:szCs w:val="24"/>
              </w:rPr>
              <w:t>序号</w:t>
            </w:r>
          </w:p>
        </w:tc>
        <w:tc>
          <w:tcPr>
            <w:tcW w:w="3179" w:type="dxa"/>
            <w:vAlign w:val="center"/>
          </w:tcPr>
          <w:p>
            <w:pPr>
              <w:tabs>
                <w:tab w:val="left" w:pos="6300"/>
              </w:tabs>
              <w:snapToGrid w:val="0"/>
              <w:spacing w:line="360" w:lineRule="auto"/>
              <w:jc w:val="center"/>
              <w:outlineLvl w:val="0"/>
              <w:rPr>
                <w:rFonts w:hint="eastAsia" w:ascii="宋体" w:hAnsi="宋体" w:eastAsia="宋体" w:cs="宋体"/>
                <w:sz w:val="21"/>
                <w:szCs w:val="24"/>
              </w:rPr>
            </w:pPr>
            <w:bookmarkStart w:id="319" w:name="_Toc5023"/>
            <w:r>
              <w:rPr>
                <w:rFonts w:hint="eastAsia" w:ascii="宋体" w:hAnsi="宋体" w:eastAsia="宋体" w:cs="宋体"/>
                <w:sz w:val="21"/>
                <w:szCs w:val="24"/>
              </w:rPr>
              <w:t>磋商项目商务需求</w:t>
            </w:r>
            <w:bookmarkEnd w:id="319"/>
          </w:p>
        </w:tc>
        <w:tc>
          <w:tcPr>
            <w:tcW w:w="2434" w:type="dxa"/>
            <w:vAlign w:val="center"/>
          </w:tcPr>
          <w:p>
            <w:pPr>
              <w:tabs>
                <w:tab w:val="left" w:pos="6300"/>
              </w:tabs>
              <w:snapToGrid w:val="0"/>
              <w:spacing w:line="360" w:lineRule="auto"/>
              <w:jc w:val="center"/>
              <w:outlineLvl w:val="0"/>
              <w:rPr>
                <w:rFonts w:hint="eastAsia" w:ascii="宋体" w:hAnsi="宋体" w:eastAsia="宋体" w:cs="宋体"/>
                <w:sz w:val="21"/>
                <w:szCs w:val="24"/>
              </w:rPr>
            </w:pPr>
            <w:bookmarkStart w:id="320" w:name="_Toc17107"/>
            <w:r>
              <w:rPr>
                <w:rFonts w:hint="eastAsia" w:ascii="宋体" w:hAnsi="宋体" w:eastAsia="宋体" w:cs="宋体"/>
                <w:sz w:val="21"/>
                <w:szCs w:val="24"/>
              </w:rPr>
              <w:t>响应情况</w:t>
            </w:r>
            <w:bookmarkEnd w:id="320"/>
          </w:p>
        </w:tc>
        <w:tc>
          <w:tcPr>
            <w:tcW w:w="2355" w:type="dxa"/>
            <w:vAlign w:val="center"/>
          </w:tcPr>
          <w:p>
            <w:pPr>
              <w:tabs>
                <w:tab w:val="left" w:pos="6300"/>
              </w:tabs>
              <w:snapToGrid w:val="0"/>
              <w:spacing w:line="360" w:lineRule="auto"/>
              <w:jc w:val="center"/>
              <w:outlineLvl w:val="0"/>
              <w:rPr>
                <w:rFonts w:hint="eastAsia" w:ascii="宋体" w:hAnsi="宋体" w:eastAsia="宋体" w:cs="宋体"/>
                <w:sz w:val="21"/>
                <w:szCs w:val="24"/>
              </w:rPr>
            </w:pPr>
            <w:bookmarkStart w:id="321" w:name="_Toc20857"/>
            <w:r>
              <w:rPr>
                <w:rFonts w:hint="eastAsia" w:ascii="宋体" w:hAnsi="宋体" w:eastAsia="宋体" w:cs="宋体"/>
                <w:sz w:val="21"/>
                <w:szCs w:val="24"/>
              </w:rPr>
              <w:t>偏离说明</w:t>
            </w:r>
            <w:bookmarkEnd w:id="3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3179"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2434" w:type="dxa"/>
            <w:vAlign w:val="center"/>
          </w:tcPr>
          <w:p>
            <w:pPr>
              <w:tabs>
                <w:tab w:val="left" w:pos="6300"/>
              </w:tabs>
              <w:snapToGrid w:val="0"/>
              <w:outlineLvl w:val="0"/>
              <w:rPr>
                <w:rFonts w:hint="eastAsia" w:ascii="宋体" w:hAnsi="宋体" w:eastAsia="宋体" w:cs="宋体"/>
                <w:sz w:val="21"/>
                <w:szCs w:val="24"/>
              </w:rPr>
            </w:pPr>
          </w:p>
        </w:tc>
        <w:tc>
          <w:tcPr>
            <w:tcW w:w="2355"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3179"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2434"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2355"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3179"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2434"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2355"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3179"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2434"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2355"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3179"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2434"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2355"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3179"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2434"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c>
          <w:tcPr>
            <w:tcW w:w="2355" w:type="dxa"/>
            <w:vAlign w:val="center"/>
          </w:tcPr>
          <w:p>
            <w:pPr>
              <w:tabs>
                <w:tab w:val="left" w:pos="6300"/>
              </w:tabs>
              <w:snapToGrid w:val="0"/>
              <w:spacing w:line="360" w:lineRule="auto"/>
              <w:jc w:val="center"/>
              <w:outlineLvl w:val="0"/>
              <w:rPr>
                <w:rFonts w:hint="eastAsia" w:ascii="宋体" w:hAnsi="宋体" w:eastAsia="宋体" w:cs="宋体"/>
                <w:sz w:val="21"/>
                <w:szCs w:val="24"/>
              </w:rPr>
            </w:pPr>
          </w:p>
        </w:tc>
      </w:tr>
    </w:tbl>
    <w:p>
      <w:pPr>
        <w:snapToGrid w:val="0"/>
        <w:spacing w:line="360" w:lineRule="auto"/>
        <w:ind w:firstLine="465"/>
        <w:rPr>
          <w:rFonts w:hint="eastAsia" w:ascii="宋体" w:hAnsi="宋体" w:eastAsia="宋体" w:cs="宋体"/>
          <w:sz w:val="24"/>
          <w:szCs w:val="24"/>
        </w:rPr>
      </w:pPr>
    </w:p>
    <w:p>
      <w:pPr>
        <w:spacing w:line="500" w:lineRule="exact"/>
        <w:ind w:firstLine="600" w:firstLineChars="250"/>
        <w:rPr>
          <w:rFonts w:hint="eastAsia" w:ascii="宋体" w:hAnsi="宋体" w:eastAsia="宋体" w:cs="宋体"/>
          <w:sz w:val="24"/>
          <w:szCs w:val="28"/>
        </w:rPr>
      </w:pPr>
      <w:r>
        <w:rPr>
          <w:rFonts w:hint="eastAsia" w:ascii="宋体" w:hAnsi="宋体" w:eastAsia="宋体" w:cs="宋体"/>
          <w:sz w:val="24"/>
          <w:szCs w:val="28"/>
        </w:rPr>
        <w:t xml:space="preserve">供应商：                          </w:t>
      </w:r>
      <w:r>
        <w:rPr>
          <w:rFonts w:hint="eastAsia" w:ascii="宋体" w:hAnsi="宋体" w:eastAsia="宋体" w:cs="宋体"/>
          <w:sz w:val="24"/>
          <w:szCs w:val="24"/>
        </w:rPr>
        <w:t>法定代表人（或其授权代表）或自然人：</w:t>
      </w:r>
    </w:p>
    <w:p>
      <w:pPr>
        <w:spacing w:line="500" w:lineRule="exact"/>
        <w:rPr>
          <w:rFonts w:hint="eastAsia" w:ascii="宋体" w:hAnsi="宋体" w:eastAsia="宋体" w:cs="宋体"/>
          <w:sz w:val="24"/>
          <w:szCs w:val="28"/>
        </w:rPr>
      </w:pPr>
    </w:p>
    <w:p>
      <w:pPr>
        <w:spacing w:line="500" w:lineRule="exact"/>
        <w:ind w:firstLine="360" w:firstLineChars="150"/>
        <w:rPr>
          <w:rFonts w:hint="eastAsia" w:ascii="宋体" w:hAnsi="宋体" w:eastAsia="宋体" w:cs="宋体"/>
          <w:sz w:val="24"/>
          <w:szCs w:val="28"/>
        </w:rPr>
      </w:pPr>
      <w:r>
        <w:rPr>
          <w:rFonts w:hint="eastAsia" w:ascii="宋体" w:hAnsi="宋体" w:eastAsia="宋体" w:cs="宋体"/>
          <w:sz w:val="24"/>
          <w:szCs w:val="28"/>
        </w:rPr>
        <w:t>（供应商公章）                                 （签署或盖章）</w:t>
      </w:r>
    </w:p>
    <w:p>
      <w:pPr>
        <w:tabs>
          <w:tab w:val="left" w:pos="6300"/>
        </w:tabs>
        <w:snapToGrid w:val="0"/>
        <w:spacing w:line="500" w:lineRule="exact"/>
        <w:ind w:firstLine="570"/>
        <w:rPr>
          <w:rFonts w:hint="eastAsia" w:ascii="宋体" w:hAnsi="宋体" w:eastAsia="宋体" w:cs="宋体"/>
          <w:sz w:val="24"/>
        </w:rPr>
      </w:pPr>
      <w:r>
        <w:rPr>
          <w:rFonts w:hint="eastAsia" w:ascii="宋体" w:hAnsi="宋体" w:eastAsia="宋体" w:cs="宋体"/>
          <w:sz w:val="24"/>
          <w:szCs w:val="28"/>
        </w:rPr>
        <w:t xml:space="preserve">                                            年     月     日</w:t>
      </w:r>
    </w:p>
    <w:p>
      <w:pPr>
        <w:tabs>
          <w:tab w:val="left" w:pos="6300"/>
        </w:tabs>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注：</w:t>
      </w:r>
    </w:p>
    <w:p>
      <w:pPr>
        <w:tabs>
          <w:tab w:val="left" w:pos="6300"/>
        </w:tabs>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szCs w:val="24"/>
        </w:rPr>
        <w:t>1</w:t>
      </w:r>
      <w:r>
        <w:rPr>
          <w:rFonts w:hint="eastAsia" w:ascii="宋体" w:hAnsi="宋体" w:eastAsia="宋体" w:cs="宋体"/>
          <w:sz w:val="24"/>
        </w:rPr>
        <w:t>.</w:t>
      </w:r>
      <w:r>
        <w:rPr>
          <w:rFonts w:hint="eastAsia" w:ascii="宋体" w:hAnsi="宋体" w:eastAsia="宋体" w:cs="宋体"/>
          <w:sz w:val="24"/>
          <w:szCs w:val="24"/>
        </w:rPr>
        <w:t>本表即为对本项目“第三篇  项目商务需求”中所列条款进行比较和响应；</w:t>
      </w:r>
    </w:p>
    <w:p>
      <w:pPr>
        <w:snapToGrid w:val="0"/>
        <w:spacing w:line="400" w:lineRule="exact"/>
        <w:ind w:firstLine="480" w:firstLineChars="200"/>
        <w:rPr>
          <w:rFonts w:hint="eastAsia" w:ascii="宋体" w:hAnsi="宋体" w:eastAsia="宋体" w:cs="宋体"/>
          <w:b/>
        </w:rPr>
        <w:sectPr>
          <w:headerReference r:id="rId10" w:type="default"/>
          <w:pgSz w:w="11907" w:h="16840"/>
          <w:pgMar w:top="1134" w:right="1191" w:bottom="1134" w:left="1304" w:header="851" w:footer="992" w:gutter="0"/>
          <w:pgNumType w:fmt="numberInDash"/>
          <w:cols w:space="720" w:num="1"/>
          <w:docGrid w:linePitch="380" w:charSpace="-5735"/>
        </w:sectPr>
      </w:pPr>
      <w:r>
        <w:rPr>
          <w:rFonts w:hint="eastAsia" w:ascii="宋体" w:hAnsi="宋体" w:eastAsia="宋体" w:cs="宋体"/>
          <w:sz w:val="24"/>
        </w:rPr>
        <w:t>2.本表可扩展。</w:t>
      </w:r>
    </w:p>
    <w:p>
      <w:pPr>
        <w:snapToGrid w:val="0"/>
        <w:spacing w:line="400" w:lineRule="exact"/>
        <w:ind w:firstLine="480" w:firstLineChars="200"/>
        <w:rPr>
          <w:rFonts w:hint="eastAsia" w:ascii="宋体" w:hAnsi="宋体" w:eastAsia="宋体" w:cs="宋体"/>
          <w:sz w:val="24"/>
          <w:szCs w:val="24"/>
        </w:rPr>
      </w:pPr>
      <w:bookmarkStart w:id="322" w:name="_Toc283382459"/>
      <w:r>
        <w:rPr>
          <w:rFonts w:hint="eastAsia" w:ascii="宋体" w:hAnsi="宋体" w:eastAsia="宋体" w:cs="宋体"/>
          <w:sz w:val="24"/>
          <w:szCs w:val="24"/>
        </w:rPr>
        <w:t>（二）其它优惠服务承诺（格式自定）</w:t>
      </w:r>
    </w:p>
    <w:p>
      <w:pPr>
        <w:snapToGrid w:val="0"/>
        <w:spacing w:line="400" w:lineRule="exact"/>
        <w:ind w:firstLine="480" w:firstLineChars="200"/>
        <w:rPr>
          <w:rFonts w:hint="eastAsia" w:ascii="宋体" w:hAnsi="宋体" w:eastAsia="宋体" w:cs="宋体"/>
          <w:sz w:val="24"/>
          <w:szCs w:val="24"/>
        </w:rPr>
      </w:pPr>
    </w:p>
    <w:p>
      <w:pPr>
        <w:pStyle w:val="2"/>
        <w:numPr>
          <w:ilvl w:val="1"/>
          <w:numId w:val="0"/>
        </w:numPr>
        <w:adjustRightInd w:val="0"/>
        <w:snapToGrid w:val="0"/>
        <w:spacing w:line="400" w:lineRule="exact"/>
        <w:ind w:left="560" w:leftChars="200"/>
        <w:rPr>
          <w:rFonts w:hint="eastAsia" w:ascii="宋体" w:hAnsi="宋体" w:eastAsia="宋体" w:cs="宋体"/>
          <w:sz w:val="24"/>
        </w:rPr>
      </w:pPr>
      <w:r>
        <w:rPr>
          <w:rFonts w:hint="eastAsia" w:ascii="宋体" w:hAnsi="宋体" w:eastAsia="宋体" w:cs="宋体"/>
          <w:sz w:val="24"/>
          <w:szCs w:val="24"/>
        </w:rPr>
        <w:br w:type="page"/>
      </w:r>
      <w:bookmarkEnd w:id="322"/>
      <w:bookmarkStart w:id="323" w:name="_Toc4523"/>
      <w:bookmarkStart w:id="324" w:name="_Toc30837"/>
      <w:bookmarkStart w:id="325" w:name="_Toc76462353"/>
      <w:bookmarkStart w:id="326" w:name="_Toc342913422"/>
      <w:bookmarkStart w:id="327" w:name="_Toc16979"/>
      <w:bookmarkStart w:id="328" w:name="_Toc106030909"/>
      <w:bookmarkStart w:id="329" w:name="_Toc17489"/>
      <w:bookmarkStart w:id="330" w:name="_Toc16296"/>
      <w:bookmarkStart w:id="331" w:name="_Toc313008359"/>
      <w:bookmarkStart w:id="332" w:name="_Toc313888363"/>
      <w:r>
        <w:rPr>
          <w:rFonts w:hint="eastAsia" w:ascii="宋体" w:hAnsi="宋体" w:eastAsia="宋体" w:cs="宋体"/>
          <w:b/>
          <w:bCs w:val="0"/>
          <w:sz w:val="24"/>
        </w:rPr>
        <w:t>四、资格条件</w:t>
      </w:r>
      <w:bookmarkEnd w:id="323"/>
      <w:bookmarkEnd w:id="324"/>
      <w:bookmarkEnd w:id="325"/>
      <w:bookmarkEnd w:id="326"/>
      <w:bookmarkEnd w:id="327"/>
      <w:bookmarkEnd w:id="328"/>
      <w:bookmarkEnd w:id="329"/>
      <w:bookmarkEnd w:id="330"/>
      <w:bookmarkEnd w:id="331"/>
      <w:bookmarkEnd w:id="332"/>
    </w:p>
    <w:p>
      <w:pPr>
        <w:tabs>
          <w:tab w:val="left" w:pos="6300"/>
        </w:tabs>
        <w:snapToGrid w:val="0"/>
        <w:spacing w:line="400" w:lineRule="exact"/>
        <w:ind w:firstLine="570"/>
        <w:rPr>
          <w:rFonts w:hint="eastAsia" w:ascii="宋体" w:hAnsi="宋体" w:eastAsia="宋体" w:cs="宋体"/>
          <w:sz w:val="24"/>
          <w:szCs w:val="24"/>
        </w:rPr>
      </w:pPr>
      <w:r>
        <w:rPr>
          <w:rFonts w:hint="eastAsia" w:ascii="宋体" w:hAnsi="宋体" w:eastAsia="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400" w:lineRule="exact"/>
        <w:ind w:firstLine="570"/>
        <w:rPr>
          <w:rFonts w:hint="eastAsia" w:ascii="宋体" w:hAnsi="宋体" w:eastAsia="宋体" w:cs="宋体"/>
        </w:rPr>
      </w:pPr>
    </w:p>
    <w:p>
      <w:pPr>
        <w:tabs>
          <w:tab w:val="left" w:pos="6300"/>
        </w:tabs>
        <w:snapToGrid w:val="0"/>
        <w:spacing w:line="500" w:lineRule="exact"/>
        <w:ind w:firstLine="570"/>
        <w:rPr>
          <w:rFonts w:hint="eastAsia" w:ascii="宋体" w:hAnsi="宋体" w:eastAsia="宋体" w:cs="宋体"/>
        </w:rPr>
      </w:pPr>
    </w:p>
    <w:p>
      <w:pPr>
        <w:tabs>
          <w:tab w:val="left" w:pos="6300"/>
        </w:tabs>
        <w:snapToGrid w:val="0"/>
        <w:spacing w:line="500" w:lineRule="exact"/>
        <w:ind w:firstLine="570"/>
        <w:rPr>
          <w:rFonts w:hint="eastAsia" w:ascii="宋体" w:hAnsi="宋体" w:eastAsia="宋体" w:cs="宋体"/>
        </w:rPr>
      </w:pPr>
    </w:p>
    <w:p>
      <w:pPr>
        <w:tabs>
          <w:tab w:val="left" w:pos="6300"/>
        </w:tabs>
        <w:snapToGrid w:val="0"/>
        <w:spacing w:line="500" w:lineRule="exact"/>
        <w:ind w:firstLine="570"/>
        <w:rPr>
          <w:rFonts w:hint="eastAsia" w:ascii="宋体" w:hAnsi="宋体" w:eastAsia="宋体" w:cs="宋体"/>
        </w:rPr>
      </w:pPr>
    </w:p>
    <w:p>
      <w:pPr>
        <w:tabs>
          <w:tab w:val="left" w:pos="6300"/>
        </w:tabs>
        <w:snapToGrid w:val="0"/>
        <w:spacing w:line="500" w:lineRule="exact"/>
        <w:ind w:firstLine="570"/>
        <w:rPr>
          <w:rFonts w:hint="eastAsia" w:ascii="宋体" w:hAnsi="宋体" w:eastAsia="宋体" w:cs="宋体"/>
        </w:rPr>
      </w:pPr>
    </w:p>
    <w:p>
      <w:pPr>
        <w:snapToGrid w:val="0"/>
        <w:spacing w:line="400" w:lineRule="exact"/>
        <w:ind w:firstLine="560" w:firstLineChars="200"/>
        <w:rPr>
          <w:rFonts w:hint="eastAsia" w:ascii="宋体" w:hAnsi="宋体" w:eastAsia="宋体" w:cs="宋体"/>
          <w:sz w:val="24"/>
          <w:szCs w:val="24"/>
        </w:rPr>
      </w:pPr>
      <w:r>
        <w:rPr>
          <w:rFonts w:hint="eastAsia" w:ascii="宋体" w:hAnsi="宋体" w:eastAsia="宋体" w:cs="宋体"/>
        </w:rPr>
        <w:br w:type="page"/>
      </w:r>
      <w:r>
        <w:rPr>
          <w:rFonts w:hint="eastAsia" w:ascii="宋体" w:hAnsi="宋体" w:eastAsia="宋体" w:cs="宋体"/>
          <w:sz w:val="24"/>
          <w:szCs w:val="24"/>
        </w:rPr>
        <w:t>（二）法定代表人身份证明书（格式）</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u w:val="single"/>
        </w:rPr>
      </w:pPr>
      <w:r>
        <w:rPr>
          <w:rFonts w:hint="eastAsia" w:ascii="宋体" w:hAnsi="宋体" w:eastAsia="宋体" w:cs="宋体"/>
          <w:sz w:val="24"/>
        </w:rPr>
        <w:t xml:space="preserve">磋商项目名称： </w:t>
      </w:r>
      <w:r>
        <w:rPr>
          <w:rFonts w:hint="eastAsia" w:ascii="宋体" w:hAnsi="宋体" w:eastAsia="宋体" w:cs="宋体"/>
          <w:sz w:val="24"/>
          <w:u w:val="single"/>
        </w:rPr>
        <w:t xml:space="preserve">                        </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（采购代理机构名称）：</w:t>
      </w:r>
    </w:p>
    <w:p>
      <w:pPr>
        <w:tabs>
          <w:tab w:val="left" w:pos="6300"/>
        </w:tabs>
        <w:snapToGrid w:val="0"/>
        <w:spacing w:line="500" w:lineRule="exact"/>
        <w:ind w:firstLine="57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（法定代表人姓名）在</w:t>
      </w:r>
      <w:r>
        <w:rPr>
          <w:rFonts w:hint="eastAsia" w:ascii="宋体" w:hAnsi="宋体" w:eastAsia="宋体" w:cs="宋体"/>
          <w:sz w:val="24"/>
          <w:u w:val="single"/>
        </w:rPr>
        <w:t xml:space="preserve">        </w:t>
      </w:r>
      <w:r>
        <w:rPr>
          <w:rFonts w:hint="eastAsia" w:ascii="宋体" w:hAnsi="宋体" w:eastAsia="宋体" w:cs="宋体"/>
          <w:sz w:val="24"/>
        </w:rPr>
        <w:t>（供应商名称）任</w:t>
      </w:r>
      <w:r>
        <w:rPr>
          <w:rFonts w:hint="eastAsia" w:ascii="宋体" w:hAnsi="宋体" w:eastAsia="宋体" w:cs="宋体"/>
          <w:sz w:val="24"/>
          <w:u w:val="single"/>
        </w:rPr>
        <w:t xml:space="preserve">        </w:t>
      </w:r>
      <w:r>
        <w:rPr>
          <w:rFonts w:hint="eastAsia" w:ascii="宋体" w:hAnsi="宋体" w:eastAsia="宋体" w:cs="宋体"/>
          <w:sz w:val="24"/>
        </w:rPr>
        <w:t>（职务名称）职务，是</w:t>
      </w:r>
      <w:r>
        <w:rPr>
          <w:rFonts w:hint="eastAsia" w:ascii="宋体" w:hAnsi="宋体" w:eastAsia="宋体" w:cs="宋体"/>
          <w:sz w:val="24"/>
          <w:u w:val="single"/>
        </w:rPr>
        <w:t xml:space="preserve">        </w:t>
      </w:r>
      <w:r>
        <w:rPr>
          <w:rFonts w:hint="eastAsia" w:ascii="宋体" w:hAnsi="宋体" w:eastAsia="宋体" w:cs="宋体"/>
          <w:sz w:val="24"/>
        </w:rPr>
        <w:t>（供应商名称）的法定代表人。</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r>
        <w:rPr>
          <w:rFonts w:hint="eastAsia" w:ascii="宋体" w:hAnsi="宋体" w:eastAsia="宋体" w:cs="宋体"/>
          <w:sz w:val="24"/>
        </w:rPr>
        <w:t>特此证明。</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r>
        <w:rPr>
          <w:rFonts w:hint="eastAsia" w:ascii="宋体" w:hAnsi="宋体" w:eastAsia="宋体" w:cs="宋体"/>
          <w:sz w:val="24"/>
        </w:rPr>
        <w:t xml:space="preserve">                                             （供应商公章）</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r>
        <w:rPr>
          <w:rFonts w:hint="eastAsia" w:ascii="宋体" w:hAnsi="宋体" w:eastAsia="宋体" w:cs="宋体"/>
          <w:sz w:val="24"/>
        </w:rPr>
        <w:t xml:space="preserve">                                             年   月   日</w:t>
      </w:r>
    </w:p>
    <w:p>
      <w:pPr>
        <w:tabs>
          <w:tab w:val="left" w:pos="6300"/>
        </w:tabs>
        <w:snapToGrid w:val="0"/>
        <w:spacing w:line="500" w:lineRule="exact"/>
        <w:ind w:firstLine="570"/>
        <w:rPr>
          <w:rFonts w:hint="eastAsia" w:ascii="宋体" w:hAnsi="宋体" w:eastAsia="宋体" w:cs="宋体"/>
          <w:sz w:val="24"/>
        </w:rPr>
      </w:pPr>
      <w:r>
        <w:rPr>
          <w:rFonts w:hint="eastAsia" w:ascii="宋体" w:hAnsi="宋体" w:eastAsia="宋体" w:cs="宋体"/>
          <w:sz w:val="24"/>
        </w:rPr>
        <w:t>法定代表人电话：XXXXXXX      电子邮箱：XXXXXX@XXXXX（若授权他人办理并签署响应文件的可不填写）</w:t>
      </w:r>
    </w:p>
    <w:p>
      <w:pPr>
        <w:tabs>
          <w:tab w:val="left" w:pos="6300"/>
        </w:tabs>
        <w:snapToGrid w:val="0"/>
        <w:spacing w:line="500" w:lineRule="exact"/>
        <w:ind w:firstLine="570"/>
        <w:rPr>
          <w:rFonts w:hint="eastAsia" w:ascii="宋体" w:hAnsi="宋体" w:eastAsia="宋体" w:cs="宋体"/>
          <w:sz w:val="24"/>
        </w:rPr>
      </w:pPr>
      <w:r>
        <w:rPr>
          <w:rFonts w:hint="eastAsia" w:ascii="宋体" w:hAnsi="宋体" w:eastAsia="宋体" w:cs="宋体"/>
          <w:sz w:val="24"/>
        </w:rPr>
        <w:t>（附：法定代表人身份证正反面复印件）</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snapToGrid w:val="0"/>
        <w:spacing w:line="400" w:lineRule="exact"/>
        <w:ind w:firstLine="560" w:firstLineChars="200"/>
        <w:rPr>
          <w:rFonts w:hint="eastAsia" w:ascii="宋体" w:hAnsi="宋体" w:eastAsia="宋体" w:cs="宋体"/>
          <w:sz w:val="24"/>
          <w:szCs w:val="24"/>
        </w:rPr>
      </w:pPr>
      <w:r>
        <w:rPr>
          <w:rFonts w:hint="eastAsia" w:ascii="宋体" w:hAnsi="宋体" w:eastAsia="宋体" w:cs="宋体"/>
        </w:rPr>
        <w:br w:type="column"/>
      </w:r>
      <w:r>
        <w:rPr>
          <w:rFonts w:hint="eastAsia" w:ascii="宋体" w:hAnsi="宋体" w:eastAsia="宋体" w:cs="宋体"/>
          <w:sz w:val="24"/>
          <w:szCs w:val="24"/>
        </w:rPr>
        <w:t>（三）法定代表人授权委托书（格式）</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szCs w:val="28"/>
        </w:rPr>
        <w:t>磋商项目名称</w:t>
      </w:r>
      <w:r>
        <w:rPr>
          <w:rFonts w:hint="eastAsia" w:ascii="宋体" w:hAnsi="宋体" w:eastAsia="宋体" w:cs="宋体"/>
          <w:sz w:val="24"/>
        </w:rPr>
        <w:t>：</w:t>
      </w:r>
      <w:r>
        <w:rPr>
          <w:rFonts w:hint="eastAsia" w:ascii="宋体" w:hAnsi="宋体" w:eastAsia="宋体" w:cs="宋体"/>
          <w:sz w:val="24"/>
          <w:u w:val="single"/>
        </w:rPr>
        <w:t xml:space="preserve">                      </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（采购代理机构名称）：</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（供应商法定代表人名称）是</w:t>
      </w:r>
      <w:r>
        <w:rPr>
          <w:rFonts w:hint="eastAsia" w:ascii="宋体" w:hAnsi="宋体" w:eastAsia="宋体" w:cs="宋体"/>
          <w:sz w:val="24"/>
          <w:u w:val="single"/>
        </w:rPr>
        <w:t xml:space="preserve">        </w:t>
      </w:r>
      <w:r>
        <w:rPr>
          <w:rFonts w:hint="eastAsia" w:ascii="宋体" w:hAnsi="宋体" w:eastAsia="宋体" w:cs="宋体"/>
          <w:sz w:val="24"/>
        </w:rPr>
        <w:t>（供应商名称）的法定代表人，特授权</w:t>
      </w:r>
      <w:r>
        <w:rPr>
          <w:rFonts w:hint="eastAsia" w:ascii="宋体" w:hAnsi="宋体" w:eastAsia="宋体" w:cs="宋体"/>
          <w:sz w:val="24"/>
          <w:u w:val="single"/>
        </w:rPr>
        <w:t xml:space="preserve">                    </w:t>
      </w:r>
      <w:r>
        <w:rPr>
          <w:rFonts w:hint="eastAsia" w:ascii="宋体" w:hAnsi="宋体" w:eastAsia="宋体" w:cs="宋体"/>
          <w:sz w:val="24"/>
        </w:rPr>
        <w:t>（被授权人姓名及身份证代码）代表我单位全权办理上述项目的磋商、签约等具体工作，并签署全部有关文件、协议及合同。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我单位对被授权人的</w:t>
      </w:r>
      <w:r>
        <w:rPr>
          <w:rFonts w:hint="eastAsia" w:ascii="宋体" w:hAnsi="宋体" w:eastAsia="宋体" w:cs="宋体"/>
          <w:sz w:val="24"/>
          <w:szCs w:val="28"/>
        </w:rPr>
        <w:t>签署</w:t>
      </w:r>
      <w:r>
        <w:rPr>
          <w:rFonts w:hint="eastAsia" w:ascii="宋体" w:hAnsi="宋体" w:eastAsia="宋体" w:cs="宋体"/>
          <w:sz w:val="24"/>
        </w:rPr>
        <w:t>负全部责任。</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r>
        <w:rPr>
          <w:rFonts w:hint="eastAsia" w:ascii="宋体" w:hAnsi="宋体" w:eastAsia="宋体" w:cs="宋体"/>
          <w:sz w:val="24"/>
        </w:rPr>
        <w:t>被授权人：                                 供应商法定代表人：</w:t>
      </w:r>
    </w:p>
    <w:p>
      <w:pPr>
        <w:tabs>
          <w:tab w:val="left" w:pos="6300"/>
        </w:tabs>
        <w:snapToGrid w:val="0"/>
        <w:spacing w:line="500" w:lineRule="exact"/>
        <w:ind w:firstLine="570"/>
        <w:rPr>
          <w:rFonts w:hint="eastAsia" w:ascii="宋体" w:hAnsi="宋体" w:eastAsia="宋体" w:cs="宋体"/>
          <w:sz w:val="24"/>
          <w:szCs w:val="28"/>
        </w:rPr>
      </w:pPr>
      <w:r>
        <w:rPr>
          <w:rFonts w:hint="eastAsia" w:ascii="宋体" w:hAnsi="宋体" w:eastAsia="宋体" w:cs="宋体"/>
          <w:sz w:val="24"/>
          <w:szCs w:val="28"/>
        </w:rPr>
        <w:t>（签署或盖章）                                （签署或盖章）</w:t>
      </w:r>
    </w:p>
    <w:p>
      <w:pPr>
        <w:tabs>
          <w:tab w:val="left" w:pos="6300"/>
        </w:tabs>
        <w:snapToGrid w:val="0"/>
        <w:spacing w:line="500" w:lineRule="exact"/>
        <w:ind w:firstLine="570"/>
        <w:rPr>
          <w:rFonts w:hint="eastAsia" w:ascii="宋体" w:hAnsi="宋体" w:eastAsia="宋体" w:cs="宋体"/>
          <w:sz w:val="24"/>
          <w:szCs w:val="28"/>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r>
        <w:rPr>
          <w:rFonts w:hint="eastAsia" w:ascii="宋体" w:hAnsi="宋体" w:eastAsia="宋体" w:cs="宋体"/>
          <w:sz w:val="24"/>
        </w:rPr>
        <w:t>（附：被授权人身份证正反面复印件）</w:t>
      </w: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firstLine="570"/>
        <w:rPr>
          <w:rFonts w:hint="eastAsia" w:ascii="宋体" w:hAnsi="宋体" w:eastAsia="宋体" w:cs="宋体"/>
          <w:sz w:val="24"/>
        </w:rPr>
      </w:pPr>
    </w:p>
    <w:p>
      <w:pPr>
        <w:tabs>
          <w:tab w:val="left" w:pos="6300"/>
        </w:tabs>
        <w:snapToGrid w:val="0"/>
        <w:spacing w:line="500" w:lineRule="exact"/>
        <w:ind w:right="480" w:firstLine="570"/>
        <w:jc w:val="right"/>
        <w:rPr>
          <w:rFonts w:hint="eastAsia" w:ascii="宋体" w:hAnsi="宋体" w:eastAsia="宋体" w:cs="宋体"/>
          <w:sz w:val="24"/>
        </w:rPr>
      </w:pPr>
      <w:r>
        <w:rPr>
          <w:rFonts w:hint="eastAsia" w:ascii="宋体" w:hAnsi="宋体" w:eastAsia="宋体" w:cs="宋体"/>
          <w:sz w:val="24"/>
        </w:rPr>
        <w:t>（供应商公章）</w:t>
      </w:r>
    </w:p>
    <w:p>
      <w:pPr>
        <w:tabs>
          <w:tab w:val="left" w:pos="6300"/>
        </w:tabs>
        <w:snapToGrid w:val="0"/>
        <w:spacing w:line="500" w:lineRule="exact"/>
        <w:ind w:right="480" w:firstLine="570"/>
        <w:jc w:val="right"/>
        <w:rPr>
          <w:rFonts w:hint="eastAsia" w:ascii="宋体" w:hAnsi="宋体" w:eastAsia="宋体" w:cs="宋体"/>
          <w:sz w:val="24"/>
        </w:rPr>
      </w:pPr>
      <w:r>
        <w:rPr>
          <w:rFonts w:hint="eastAsia" w:ascii="宋体" w:hAnsi="宋体" w:eastAsia="宋体" w:cs="宋体"/>
          <w:sz w:val="24"/>
        </w:rPr>
        <w:t>年   月   日</w:t>
      </w:r>
    </w:p>
    <w:p>
      <w:pPr>
        <w:tabs>
          <w:tab w:val="left" w:pos="6300"/>
        </w:tabs>
        <w:snapToGrid w:val="0"/>
        <w:spacing w:line="500" w:lineRule="exact"/>
        <w:ind w:right="480" w:firstLine="570"/>
        <w:jc w:val="left"/>
        <w:rPr>
          <w:rFonts w:hint="eastAsia" w:ascii="宋体" w:hAnsi="宋体" w:eastAsia="宋体" w:cs="宋体"/>
          <w:sz w:val="24"/>
        </w:rPr>
      </w:pPr>
      <w:r>
        <w:rPr>
          <w:rFonts w:hint="eastAsia" w:ascii="宋体" w:hAnsi="宋体" w:eastAsia="宋体" w:cs="宋体"/>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宋体" w:hAnsi="宋体" w:eastAsia="宋体" w:cs="宋体"/>
          <w:sz w:val="24"/>
        </w:rPr>
      </w:pPr>
      <w:r>
        <w:rPr>
          <w:rFonts w:hint="eastAsia" w:ascii="宋体" w:hAnsi="宋体" w:eastAsia="宋体" w:cs="宋体"/>
          <w:sz w:val="24"/>
        </w:rPr>
        <w:t>注：若为法定代表人办理并签署响应文件的，不提供此文件。</w:t>
      </w:r>
    </w:p>
    <w:p>
      <w:pPr>
        <w:tabs>
          <w:tab w:val="left" w:pos="6300"/>
        </w:tabs>
        <w:snapToGrid w:val="0"/>
        <w:spacing w:line="500" w:lineRule="exact"/>
        <w:ind w:firstLine="570"/>
        <w:rPr>
          <w:rFonts w:hint="eastAsia" w:ascii="宋体" w:hAnsi="宋体" w:eastAsia="宋体" w:cs="宋体"/>
          <w:sz w:val="24"/>
          <w:szCs w:val="24"/>
        </w:rPr>
      </w:pPr>
      <w:r>
        <w:rPr>
          <w:rFonts w:hint="eastAsia" w:ascii="宋体" w:hAnsi="宋体" w:eastAsia="宋体" w:cs="宋体"/>
        </w:rPr>
        <w:br w:type="column"/>
      </w:r>
      <w:r>
        <w:rPr>
          <w:rFonts w:hint="eastAsia" w:ascii="宋体" w:hAnsi="宋体" w:eastAsia="宋体" w:cs="宋体"/>
          <w:sz w:val="24"/>
          <w:szCs w:val="24"/>
        </w:rPr>
        <w:t>（四）</w:t>
      </w:r>
      <w:r>
        <w:rPr>
          <w:rFonts w:hint="eastAsia" w:ascii="宋体" w:hAnsi="宋体" w:eastAsia="宋体" w:cs="宋体"/>
          <w:sz w:val="24"/>
          <w:szCs w:val="28"/>
        </w:rPr>
        <w:t>基本资格条件承诺函</w:t>
      </w:r>
    </w:p>
    <w:p>
      <w:pPr>
        <w:tabs>
          <w:tab w:val="left" w:pos="6300"/>
        </w:tabs>
        <w:snapToGrid w:val="0"/>
        <w:spacing w:line="500" w:lineRule="exact"/>
        <w:ind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基本资格条件承诺函</w:t>
      </w:r>
    </w:p>
    <w:p>
      <w:pPr>
        <w:tabs>
          <w:tab w:val="left" w:pos="6300"/>
        </w:tabs>
        <w:snapToGrid w:val="0"/>
        <w:spacing w:line="530" w:lineRule="exact"/>
        <w:rPr>
          <w:rFonts w:hint="eastAsia" w:ascii="宋体" w:hAnsi="宋体" w:eastAsia="宋体" w:cs="宋体"/>
          <w:sz w:val="24"/>
        </w:rPr>
      </w:pP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（采购代理机构名称）：</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（供应商名称）郑重承诺：</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1.我方具有良好的商业信誉和健全的财务会计制度，具有履行合同所必需的设备和专业技术能力，具</w:t>
      </w:r>
      <w:r>
        <w:rPr>
          <w:rFonts w:hint="eastAsia" w:ascii="宋体" w:hAnsi="宋体" w:eastAsia="宋体" w:cs="宋体"/>
          <w:sz w:val="24"/>
          <w:lang w:val="zh-CN"/>
        </w:rPr>
        <w:t>有依法缴纳税收和社会保障金的良好记录</w:t>
      </w:r>
      <w:r>
        <w:rPr>
          <w:rFonts w:hint="eastAsia" w:ascii="宋体" w:hAnsi="宋体" w:eastAsia="宋体" w:cs="宋体"/>
          <w:sz w:val="24"/>
        </w:rPr>
        <w:t>，参加本项目采购活动前三年内无重大违法活动记录。</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我方对以上承诺负全部法律责任。</w:t>
      </w:r>
    </w:p>
    <w:p>
      <w:pPr>
        <w:tabs>
          <w:tab w:val="left" w:pos="6300"/>
        </w:tabs>
        <w:snapToGrid w:val="0"/>
        <w:spacing w:line="500" w:lineRule="exact"/>
        <w:ind w:firstLine="480" w:firstLineChars="200"/>
        <w:rPr>
          <w:rFonts w:hint="eastAsia" w:ascii="宋体" w:hAnsi="宋体" w:eastAsia="宋体" w:cs="宋体"/>
          <w:sz w:val="24"/>
        </w:rPr>
      </w:pPr>
      <w:r>
        <w:rPr>
          <w:rFonts w:hint="eastAsia" w:ascii="宋体" w:hAnsi="宋体" w:eastAsia="宋体" w:cs="宋体"/>
          <w:sz w:val="24"/>
        </w:rPr>
        <w:t>特此承诺。</w:t>
      </w:r>
    </w:p>
    <w:p>
      <w:pPr>
        <w:tabs>
          <w:tab w:val="left" w:pos="6300"/>
        </w:tabs>
        <w:snapToGrid w:val="0"/>
        <w:spacing w:line="500" w:lineRule="exact"/>
        <w:ind w:firstLine="480" w:firstLineChars="200"/>
        <w:rPr>
          <w:rFonts w:hint="eastAsia" w:ascii="宋体" w:hAnsi="宋体" w:eastAsia="宋体" w:cs="宋体"/>
          <w:sz w:val="24"/>
        </w:rPr>
      </w:pPr>
    </w:p>
    <w:p>
      <w:pPr>
        <w:tabs>
          <w:tab w:val="left" w:pos="6300"/>
        </w:tabs>
        <w:snapToGrid w:val="0"/>
        <w:spacing w:line="500" w:lineRule="exact"/>
        <w:ind w:firstLine="480" w:firstLineChars="200"/>
        <w:jc w:val="right"/>
        <w:rPr>
          <w:rFonts w:hint="eastAsia" w:ascii="宋体" w:hAnsi="宋体" w:eastAsia="宋体" w:cs="宋体"/>
          <w:sz w:val="24"/>
        </w:rPr>
      </w:pPr>
      <w:r>
        <w:rPr>
          <w:rFonts w:hint="eastAsia" w:ascii="宋体" w:hAnsi="宋体" w:eastAsia="宋体" w:cs="宋体"/>
          <w:sz w:val="24"/>
        </w:rPr>
        <w:t>（供应商公章）</w:t>
      </w:r>
    </w:p>
    <w:p>
      <w:pPr>
        <w:tabs>
          <w:tab w:val="left" w:pos="6300"/>
        </w:tabs>
        <w:snapToGrid w:val="0"/>
        <w:spacing w:line="500" w:lineRule="exact"/>
        <w:ind w:firstLine="7920" w:firstLineChars="3300"/>
        <w:rPr>
          <w:rFonts w:hint="eastAsia" w:ascii="宋体" w:hAnsi="宋体" w:eastAsia="宋体" w:cs="宋体"/>
          <w:sz w:val="24"/>
          <w:szCs w:val="24"/>
        </w:rPr>
      </w:pPr>
      <w:r>
        <w:rPr>
          <w:rFonts w:hint="eastAsia" w:ascii="宋体" w:hAnsi="宋体" w:eastAsia="宋体" w:cs="宋体"/>
          <w:sz w:val="24"/>
        </w:rPr>
        <w:t>年   月   日</w:t>
      </w:r>
    </w:p>
    <w:p>
      <w:pPr>
        <w:snapToGrid w:val="0"/>
        <w:spacing w:line="400" w:lineRule="exact"/>
        <w:ind w:firstLine="560" w:firstLineChars="200"/>
        <w:rPr>
          <w:rFonts w:hint="eastAsia" w:ascii="宋体" w:hAnsi="宋体" w:eastAsia="宋体" w:cs="宋体"/>
          <w:sz w:val="24"/>
          <w:szCs w:val="24"/>
        </w:rPr>
      </w:pPr>
      <w:r>
        <w:rPr>
          <w:rFonts w:hint="eastAsia" w:ascii="宋体" w:hAnsi="宋体" w:eastAsia="宋体" w:cs="宋体"/>
        </w:rPr>
        <w:br w:type="page"/>
      </w:r>
      <w:r>
        <w:rPr>
          <w:rFonts w:hint="eastAsia" w:ascii="宋体" w:hAnsi="宋体" w:eastAsia="宋体" w:cs="宋体"/>
          <w:sz w:val="24"/>
          <w:szCs w:val="24"/>
        </w:rPr>
        <w:t>（五）特定资格条件证书或证明文件（如果有）</w:t>
      </w:r>
    </w:p>
    <w:p>
      <w:pPr>
        <w:tabs>
          <w:tab w:val="left" w:pos="6300"/>
        </w:tabs>
        <w:snapToGrid w:val="0"/>
        <w:spacing w:line="400" w:lineRule="exact"/>
        <w:ind w:firstLine="480" w:firstLineChars="200"/>
        <w:rPr>
          <w:rFonts w:hint="eastAsia" w:ascii="宋体" w:hAnsi="宋体" w:eastAsia="宋体" w:cs="宋体"/>
          <w:sz w:val="24"/>
          <w:szCs w:val="24"/>
        </w:rPr>
      </w:pPr>
    </w:p>
    <w:p>
      <w:pPr>
        <w:pStyle w:val="2"/>
        <w:numPr>
          <w:ilvl w:val="1"/>
          <w:numId w:val="0"/>
        </w:numPr>
        <w:adjustRightInd w:val="0"/>
        <w:snapToGrid w:val="0"/>
        <w:spacing w:line="400" w:lineRule="exact"/>
        <w:ind w:left="560" w:leftChars="200"/>
        <w:rPr>
          <w:rFonts w:hint="eastAsia" w:ascii="宋体" w:hAnsi="宋体" w:eastAsia="宋体" w:cs="宋体"/>
          <w:sz w:val="24"/>
        </w:rPr>
      </w:pPr>
      <w:bookmarkStart w:id="333" w:name="_Toc14422"/>
      <w:r>
        <w:rPr>
          <w:rFonts w:hint="eastAsia" w:ascii="宋体" w:hAnsi="宋体" w:eastAsia="宋体" w:cs="宋体"/>
          <w:sz w:val="28"/>
        </w:rPr>
        <w:br w:type="page"/>
      </w:r>
      <w:bookmarkStart w:id="334" w:name="_Toc21904"/>
      <w:bookmarkStart w:id="335" w:name="_Toc76462354"/>
      <w:bookmarkStart w:id="336" w:name="_Toc31035"/>
      <w:bookmarkStart w:id="337" w:name="_Toc19332"/>
      <w:bookmarkStart w:id="338" w:name="_Toc18889"/>
      <w:bookmarkStart w:id="339" w:name="_Toc9230"/>
      <w:bookmarkStart w:id="340" w:name="_Toc25441"/>
      <w:bookmarkStart w:id="341" w:name="_Toc106030910"/>
      <w:r>
        <w:rPr>
          <w:rFonts w:hint="eastAsia" w:ascii="宋体" w:hAnsi="宋体" w:eastAsia="宋体" w:cs="宋体"/>
          <w:b/>
          <w:bCs w:val="0"/>
          <w:sz w:val="24"/>
        </w:rPr>
        <w:t>五、其他资料</w:t>
      </w:r>
      <w:bookmarkEnd w:id="333"/>
      <w:bookmarkEnd w:id="334"/>
      <w:bookmarkEnd w:id="335"/>
      <w:bookmarkEnd w:id="336"/>
      <w:bookmarkEnd w:id="337"/>
      <w:bookmarkEnd w:id="338"/>
      <w:bookmarkEnd w:id="339"/>
      <w:bookmarkEnd w:id="340"/>
      <w:bookmarkEnd w:id="341"/>
    </w:p>
    <w:p>
      <w:pPr>
        <w:snapToGrid w:val="0"/>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其他与项目有关的资料</w:t>
      </w:r>
    </w:p>
    <w:p>
      <w:pPr>
        <w:spacing w:line="400" w:lineRule="exact"/>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spacing w:line="360" w:lineRule="auto"/>
        <w:ind w:firstLine="480" w:firstLineChars="200"/>
        <w:jc w:val="center"/>
        <w:rPr>
          <w:rFonts w:hint="eastAsia" w:ascii="宋体" w:hAnsi="宋体" w:eastAsia="宋体" w:cs="宋体"/>
          <w:sz w:val="24"/>
          <w:szCs w:val="24"/>
        </w:rPr>
      </w:pPr>
    </w:p>
    <w:p>
      <w:pPr>
        <w:spacing w:line="360" w:lineRule="auto"/>
        <w:ind w:firstLine="480" w:firstLineChars="200"/>
        <w:jc w:val="center"/>
        <w:outlineLvl w:val="0"/>
        <w:rPr>
          <w:rFonts w:hint="eastAsia" w:ascii="宋体" w:hAnsi="宋体" w:eastAsia="宋体" w:cs="宋体"/>
        </w:rPr>
      </w:pPr>
      <w:bookmarkStart w:id="342" w:name="_Toc4009"/>
      <w:r>
        <w:rPr>
          <w:rFonts w:hint="eastAsia" w:ascii="宋体" w:hAnsi="宋体" w:eastAsia="宋体" w:cs="宋体"/>
          <w:sz w:val="24"/>
          <w:szCs w:val="24"/>
        </w:rPr>
        <w:t>（结束）</w:t>
      </w:r>
      <w:bookmarkEnd w:id="342"/>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_GB2312;??">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jc w:val="center"/>
      <w:rPr>
        <w:rStyle w:val="31"/>
        <w:rFonts w:ascii="宋体"/>
        <w:sz w:val="21"/>
        <w:szCs w:val="21"/>
      </w:rPr>
    </w:pPr>
    <w:r>
      <w:rPr>
        <w:rFonts w:ascii="宋体"/>
        <w:sz w:val="21"/>
        <w:szCs w:val="21"/>
      </w:rPr>
      <w:fldChar w:fldCharType="begin"/>
    </w:r>
    <w:r>
      <w:rPr>
        <w:rStyle w:val="31"/>
        <w:rFonts w:ascii="宋体"/>
        <w:sz w:val="21"/>
        <w:szCs w:val="21"/>
      </w:rPr>
      <w:instrText xml:space="preserve">PAGE  </w:instrText>
    </w:r>
    <w:r>
      <w:rPr>
        <w:rFonts w:ascii="宋体"/>
        <w:sz w:val="21"/>
        <w:szCs w:val="21"/>
      </w:rPr>
      <w:fldChar w:fldCharType="separate"/>
    </w:r>
    <w:r>
      <w:rPr>
        <w:rStyle w:val="31"/>
        <w:rFonts w:ascii="宋体"/>
        <w:sz w:val="21"/>
        <w:szCs w:val="21"/>
      </w:rPr>
      <w:t>- 5 -</w:t>
    </w:r>
    <w:r>
      <w:rPr>
        <w:rFonts w:ascii="宋体"/>
        <w:sz w:val="21"/>
        <w:szCs w:val="21"/>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1"/>
      </w:rPr>
    </w:pPr>
    <w:r>
      <w:fldChar w:fldCharType="begin"/>
    </w:r>
    <w:r>
      <w:rPr>
        <w:rStyle w:val="31"/>
      </w:rPr>
      <w:instrText xml:space="preserve">PAGE  </w:instrText>
    </w:r>
    <w:r>
      <w:fldChar w:fldCharType="end"/>
    </w:r>
  </w:p>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1"/>
      </w:rPr>
    </w:pPr>
  </w:p>
  <w:p>
    <w:pPr>
      <w:pStyle w:val="20"/>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宋体" w:hAnsi="宋体"/>
        <w:sz w:val="21"/>
        <w:szCs w:val="21"/>
      </w:rPr>
    </w:pPr>
    <w:r>
      <w:rPr>
        <w:rFonts w:ascii="宋体" w:hAnsi="宋体"/>
        <w:sz w:val="21"/>
        <w:szCs w:val="21"/>
      </w:rPr>
      <w:fldChar w:fldCharType="begin"/>
    </w:r>
    <w:r>
      <w:rPr>
        <w:rStyle w:val="31"/>
        <w:rFonts w:ascii="宋体" w:hAnsi="宋体"/>
        <w:sz w:val="21"/>
        <w:szCs w:val="21"/>
      </w:rPr>
      <w:instrText xml:space="preserve"> PAGE </w:instrText>
    </w:r>
    <w:r>
      <w:rPr>
        <w:rFonts w:ascii="宋体" w:hAnsi="宋体"/>
        <w:sz w:val="21"/>
        <w:szCs w:val="21"/>
      </w:rPr>
      <w:fldChar w:fldCharType="separate"/>
    </w:r>
    <w:r>
      <w:rPr>
        <w:rStyle w:val="31"/>
        <w:rFonts w:ascii="宋体" w:hAnsi="宋体"/>
        <w:sz w:val="21"/>
        <w:szCs w:val="21"/>
      </w:rPr>
      <w:t>- 9 -</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rPr>
        <w:rFonts w:hint="eastAsia" w:ascii="宋体" w:hAnsi="宋体" w:cs="宋体"/>
        <w:sz w:val="21"/>
        <w:szCs w:val="21"/>
      </w:rPr>
      <w:drawing>
        <wp:inline distT="0" distB="0" distL="114300" distR="114300">
          <wp:extent cx="1035685" cy="238760"/>
          <wp:effectExtent l="0" t="0" r="5715" b="2540"/>
          <wp:docPr id="2" name="图片 2" descr="41c27853c758a996df789047efa7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1c27853c758a996df789047efa7338"/>
                  <pic:cNvPicPr>
                    <a:picLocks noChangeAspect="1"/>
                  </pic:cNvPicPr>
                </pic:nvPicPr>
                <pic:blipFill>
                  <a:blip r:embed="rId1"/>
                  <a:stretch>
                    <a:fillRect/>
                  </a:stretch>
                </pic:blipFill>
                <pic:spPr>
                  <a:xfrm>
                    <a:off x="0" y="0"/>
                    <a:ext cx="1035685" cy="238760"/>
                  </a:xfrm>
                  <a:prstGeom prst="rect">
                    <a:avLst/>
                  </a:prstGeom>
                  <a:noFill/>
                  <a:ln>
                    <a:noFill/>
                  </a:ln>
                </pic:spPr>
              </pic:pic>
            </a:graphicData>
          </a:graphic>
        </wp:inline>
      </w:drawing>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eastAsia="宋体" w:cs="宋体"/>
        <w:sz w:val="21"/>
        <w:szCs w:val="21"/>
      </w:rPr>
      <w:t xml:space="preserve">  </w:t>
    </w:r>
    <w:r>
      <w:rPr>
        <w:rFonts w:hint="eastAsia" w:ascii="宋体" w:hAnsi="宋体" w:eastAsia="宋体" w:cs="宋体"/>
        <w:sz w:val="24"/>
        <w:szCs w:val="24"/>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ascii="仿宋" w:hAnsi="仿宋" w:eastAsia="仿宋" w:cs="仿宋"/>
        <w:sz w:val="24"/>
        <w:szCs w:val="24"/>
      </w:rPr>
    </w:pPr>
    <w:r>
      <w:rPr>
        <w:rFonts w:hint="eastAsia" w:ascii="仿宋" w:hAnsi="仿宋" w:eastAsia="仿宋" w:cs="仿宋"/>
        <w:sz w:val="24"/>
        <w:szCs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pPr>
    <w:r>
      <w:rPr>
        <w:rFonts w:hint="eastAsia" w:ascii="宋体" w:hAnsi="宋体" w:cs="宋体"/>
        <w:sz w:val="21"/>
        <w:szCs w:val="21"/>
      </w:rPr>
      <w:drawing>
        <wp:inline distT="0" distB="0" distL="114300" distR="114300">
          <wp:extent cx="1035685" cy="238760"/>
          <wp:effectExtent l="0" t="0" r="5715" b="2540"/>
          <wp:docPr id="3" name="图片 3" descr="41c27853c758a996df789047efa7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1c27853c758a996df789047efa7338"/>
                  <pic:cNvPicPr>
                    <a:picLocks noChangeAspect="1"/>
                  </pic:cNvPicPr>
                </pic:nvPicPr>
                <pic:blipFill>
                  <a:blip r:embed="rId1"/>
                  <a:stretch>
                    <a:fillRect/>
                  </a:stretch>
                </pic:blipFill>
                <pic:spPr>
                  <a:xfrm>
                    <a:off x="0" y="0"/>
                    <a:ext cx="1035685" cy="238760"/>
                  </a:xfrm>
                  <a:prstGeom prst="rect">
                    <a:avLst/>
                  </a:prstGeom>
                  <a:noFill/>
                  <a:ln>
                    <a:noFill/>
                  </a:ln>
                </pic:spPr>
              </pic:pic>
            </a:graphicData>
          </a:graphic>
        </wp:inline>
      </w:drawing>
    </w:r>
    <w:r>
      <w:rPr>
        <w:rFonts w:hint="eastAsia" w:ascii="宋体" w:hAnsi="宋体" w:cs="宋体"/>
        <w:sz w:val="21"/>
        <w:szCs w:val="21"/>
      </w:rPr>
      <w:t xml:space="preserve">                                                         </w:t>
    </w:r>
    <w:r>
      <w:rPr>
        <w:rFonts w:hint="eastAsia" w:ascii="宋体" w:hAnsi="宋体" w:eastAsia="宋体" w:cs="宋体"/>
        <w:sz w:val="24"/>
        <w:szCs w:val="24"/>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56509"/>
    <w:multiLevelType w:val="multilevel"/>
    <w:tmpl w:val="00C56509"/>
    <w:lvl w:ilvl="0" w:tentative="0">
      <w:start w:val="1"/>
      <w:numFmt w:val="chineseCounting"/>
      <w:pStyle w:val="3"/>
      <w:suff w:val="nothing"/>
      <w:lvlText w:val="第%1章 "/>
      <w:lvlJc w:val="left"/>
      <w:pPr>
        <w:ind w:left="432" w:hanging="432"/>
      </w:pPr>
      <w:rPr>
        <w:rFonts w:hint="eastAsia"/>
      </w:rPr>
    </w:lvl>
    <w:lvl w:ilvl="1" w:tentative="0">
      <w:start w:val="1"/>
      <w:numFmt w:val="decimal"/>
      <w:pStyle w:val="2"/>
      <w:isLgl/>
      <w:lvlText w:val="%1.%2."/>
      <w:lvlJc w:val="left"/>
      <w:pPr>
        <w:ind w:left="575" w:hanging="575"/>
      </w:pPr>
      <w:rPr>
        <w:rFonts w:hint="eastAsia"/>
      </w:rPr>
    </w:lvl>
    <w:lvl w:ilvl="2" w:tentative="0">
      <w:start w:val="1"/>
      <w:numFmt w:val="decimal"/>
      <w:pStyle w:val="4"/>
      <w:isLgl/>
      <w:lvlText w:val="%1.%2.%3."/>
      <w:lvlJc w:val="left"/>
      <w:pPr>
        <w:ind w:left="720" w:hanging="720"/>
      </w:pPr>
      <w:rPr>
        <w:rFonts w:hint="eastAsia"/>
      </w:rPr>
    </w:lvl>
    <w:lvl w:ilvl="3" w:tentative="0">
      <w:start w:val="1"/>
      <w:numFmt w:val="decimal"/>
      <w:pStyle w:val="5"/>
      <w:isLgl/>
      <w:lvlText w:val="%1.%2.%3.%4."/>
      <w:lvlJc w:val="left"/>
      <w:pPr>
        <w:ind w:left="864" w:hanging="864"/>
      </w:pPr>
      <w:rPr>
        <w:rFonts w:hint="eastAsia"/>
      </w:rPr>
    </w:lvl>
    <w:lvl w:ilvl="4" w:tentative="0">
      <w:start w:val="1"/>
      <w:numFmt w:val="decimal"/>
      <w:pStyle w:val="6"/>
      <w:isLgl/>
      <w:lvlText w:val="%1.%2.%3.%4.%5."/>
      <w:lvlJc w:val="left"/>
      <w:pPr>
        <w:ind w:left="1008" w:hanging="1008"/>
      </w:pPr>
      <w:rPr>
        <w:rFonts w:hint="eastAsia"/>
      </w:rPr>
    </w:lvl>
    <w:lvl w:ilvl="5" w:tentative="0">
      <w:start w:val="1"/>
      <w:numFmt w:val="decimal"/>
      <w:pStyle w:val="7"/>
      <w:isLgl/>
      <w:lvlText w:val="%1.%2.%3.%4.%5.%6."/>
      <w:lvlJc w:val="left"/>
      <w:pPr>
        <w:ind w:left="1151" w:hanging="1151"/>
      </w:pPr>
      <w:rPr>
        <w:rFonts w:hint="eastAsia"/>
      </w:rPr>
    </w:lvl>
    <w:lvl w:ilvl="6" w:tentative="0">
      <w:start w:val="1"/>
      <w:numFmt w:val="decimal"/>
      <w:pStyle w:val="8"/>
      <w:isLgl/>
      <w:lvlText w:val="%1.%2.%3.%4.%5.%6.%7."/>
      <w:lvlJc w:val="left"/>
      <w:pPr>
        <w:ind w:left="1296" w:hanging="1296"/>
      </w:pPr>
      <w:rPr>
        <w:rFonts w:hint="eastAsia"/>
      </w:rPr>
    </w:lvl>
    <w:lvl w:ilvl="7" w:tentative="0">
      <w:start w:val="1"/>
      <w:numFmt w:val="decimal"/>
      <w:pStyle w:val="9"/>
      <w:isLgl/>
      <w:lvlText w:val="%1.%2.%3.%4.%5.%6.%7.%8."/>
      <w:lvlJc w:val="left"/>
      <w:pPr>
        <w:ind w:left="1440" w:hanging="1440"/>
      </w:pPr>
      <w:rPr>
        <w:rFonts w:hint="eastAsia"/>
      </w:rPr>
    </w:lvl>
    <w:lvl w:ilvl="8" w:tentative="0">
      <w:start w:val="1"/>
      <w:numFmt w:val="decimal"/>
      <w:pStyle w:val="10"/>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YjdhYmUyNjNhZjhhZWUwNGEwN2ZhNDNlYzkxN2UifQ=="/>
  </w:docVars>
  <w:rsids>
    <w:rsidRoot w:val="514B7ECE"/>
    <w:rsid w:val="00046CA0"/>
    <w:rsid w:val="000D1FA1"/>
    <w:rsid w:val="00191800"/>
    <w:rsid w:val="001A7BF6"/>
    <w:rsid w:val="001C7358"/>
    <w:rsid w:val="001D1EEA"/>
    <w:rsid w:val="002070B4"/>
    <w:rsid w:val="002730CC"/>
    <w:rsid w:val="002966D6"/>
    <w:rsid w:val="002A1AA0"/>
    <w:rsid w:val="002A3071"/>
    <w:rsid w:val="002D269B"/>
    <w:rsid w:val="002D5271"/>
    <w:rsid w:val="00327CB1"/>
    <w:rsid w:val="0036524A"/>
    <w:rsid w:val="00382730"/>
    <w:rsid w:val="003B7625"/>
    <w:rsid w:val="003E6254"/>
    <w:rsid w:val="00433591"/>
    <w:rsid w:val="004D2EC9"/>
    <w:rsid w:val="0051277C"/>
    <w:rsid w:val="0057268B"/>
    <w:rsid w:val="0058523E"/>
    <w:rsid w:val="005877B4"/>
    <w:rsid w:val="005F5FE1"/>
    <w:rsid w:val="00610597"/>
    <w:rsid w:val="00613262"/>
    <w:rsid w:val="00615EA1"/>
    <w:rsid w:val="006171D9"/>
    <w:rsid w:val="006315DB"/>
    <w:rsid w:val="0067234B"/>
    <w:rsid w:val="00682B26"/>
    <w:rsid w:val="00694EC5"/>
    <w:rsid w:val="006B35AD"/>
    <w:rsid w:val="006D6F3B"/>
    <w:rsid w:val="00723A0B"/>
    <w:rsid w:val="007C6EBF"/>
    <w:rsid w:val="007E39A0"/>
    <w:rsid w:val="00980AFC"/>
    <w:rsid w:val="009A6F66"/>
    <w:rsid w:val="009B3F6E"/>
    <w:rsid w:val="00A64795"/>
    <w:rsid w:val="00A95A9A"/>
    <w:rsid w:val="00AB5930"/>
    <w:rsid w:val="00B32F6B"/>
    <w:rsid w:val="00B76409"/>
    <w:rsid w:val="00BA18F9"/>
    <w:rsid w:val="00BA7CA7"/>
    <w:rsid w:val="00BF4BFC"/>
    <w:rsid w:val="00C328C9"/>
    <w:rsid w:val="00C97D31"/>
    <w:rsid w:val="00CB0FCC"/>
    <w:rsid w:val="00CB5DB9"/>
    <w:rsid w:val="00CC0FC8"/>
    <w:rsid w:val="00CE742E"/>
    <w:rsid w:val="00D10939"/>
    <w:rsid w:val="00D13EBD"/>
    <w:rsid w:val="00DD6276"/>
    <w:rsid w:val="00E07CEE"/>
    <w:rsid w:val="00E40D72"/>
    <w:rsid w:val="00E808EC"/>
    <w:rsid w:val="00EF368D"/>
    <w:rsid w:val="01050196"/>
    <w:rsid w:val="01115B19"/>
    <w:rsid w:val="01145609"/>
    <w:rsid w:val="01176EA7"/>
    <w:rsid w:val="012C2953"/>
    <w:rsid w:val="01396E1E"/>
    <w:rsid w:val="0141091C"/>
    <w:rsid w:val="017F1D14"/>
    <w:rsid w:val="019127B6"/>
    <w:rsid w:val="01A0313A"/>
    <w:rsid w:val="01CF1530"/>
    <w:rsid w:val="01D442DC"/>
    <w:rsid w:val="01D47EE7"/>
    <w:rsid w:val="01D56C4A"/>
    <w:rsid w:val="01F43073"/>
    <w:rsid w:val="01F83A81"/>
    <w:rsid w:val="01FB0577"/>
    <w:rsid w:val="02182ED7"/>
    <w:rsid w:val="021D23A4"/>
    <w:rsid w:val="023D1798"/>
    <w:rsid w:val="023E4D5D"/>
    <w:rsid w:val="02467A44"/>
    <w:rsid w:val="02902A6D"/>
    <w:rsid w:val="029A48D9"/>
    <w:rsid w:val="02ED7C69"/>
    <w:rsid w:val="03065425"/>
    <w:rsid w:val="032A1114"/>
    <w:rsid w:val="036A59B4"/>
    <w:rsid w:val="0374238F"/>
    <w:rsid w:val="037A60D6"/>
    <w:rsid w:val="039663B2"/>
    <w:rsid w:val="039C3694"/>
    <w:rsid w:val="03A74512"/>
    <w:rsid w:val="03D66BA6"/>
    <w:rsid w:val="04340E81"/>
    <w:rsid w:val="04440D70"/>
    <w:rsid w:val="04792C91"/>
    <w:rsid w:val="0482288A"/>
    <w:rsid w:val="04937D91"/>
    <w:rsid w:val="04A31AD1"/>
    <w:rsid w:val="04AD3DC2"/>
    <w:rsid w:val="04DE7A42"/>
    <w:rsid w:val="04ED7685"/>
    <w:rsid w:val="04EE7F1F"/>
    <w:rsid w:val="050D4849"/>
    <w:rsid w:val="051A773B"/>
    <w:rsid w:val="05281683"/>
    <w:rsid w:val="052F2A11"/>
    <w:rsid w:val="05353DA0"/>
    <w:rsid w:val="05393890"/>
    <w:rsid w:val="056800F4"/>
    <w:rsid w:val="058B170D"/>
    <w:rsid w:val="058C1C12"/>
    <w:rsid w:val="058D14E6"/>
    <w:rsid w:val="059E1945"/>
    <w:rsid w:val="05B64EE1"/>
    <w:rsid w:val="05CC38F7"/>
    <w:rsid w:val="05DF0E99"/>
    <w:rsid w:val="05FA3A43"/>
    <w:rsid w:val="060A6ADA"/>
    <w:rsid w:val="062A0575"/>
    <w:rsid w:val="06304C93"/>
    <w:rsid w:val="06620BC5"/>
    <w:rsid w:val="066C1A43"/>
    <w:rsid w:val="06744454"/>
    <w:rsid w:val="068678D2"/>
    <w:rsid w:val="068679E8"/>
    <w:rsid w:val="0687062B"/>
    <w:rsid w:val="0696261C"/>
    <w:rsid w:val="069C40D7"/>
    <w:rsid w:val="06A905A2"/>
    <w:rsid w:val="06B1334E"/>
    <w:rsid w:val="06B50A71"/>
    <w:rsid w:val="06B65CE0"/>
    <w:rsid w:val="06DB44D3"/>
    <w:rsid w:val="06E710CA"/>
    <w:rsid w:val="070505BA"/>
    <w:rsid w:val="0737795B"/>
    <w:rsid w:val="0777462F"/>
    <w:rsid w:val="07862691"/>
    <w:rsid w:val="079923C4"/>
    <w:rsid w:val="07B62F76"/>
    <w:rsid w:val="07D23B28"/>
    <w:rsid w:val="07DC0503"/>
    <w:rsid w:val="07E80907"/>
    <w:rsid w:val="07FB307F"/>
    <w:rsid w:val="080156F5"/>
    <w:rsid w:val="080B7F58"/>
    <w:rsid w:val="081B727D"/>
    <w:rsid w:val="082779D0"/>
    <w:rsid w:val="0831084F"/>
    <w:rsid w:val="08341A2A"/>
    <w:rsid w:val="085831B1"/>
    <w:rsid w:val="08607386"/>
    <w:rsid w:val="086E1AA3"/>
    <w:rsid w:val="08A13C26"/>
    <w:rsid w:val="08A74FB5"/>
    <w:rsid w:val="08B80F70"/>
    <w:rsid w:val="08BF5E5A"/>
    <w:rsid w:val="08EB4EA1"/>
    <w:rsid w:val="08F60EF0"/>
    <w:rsid w:val="09142B1D"/>
    <w:rsid w:val="092A3BD6"/>
    <w:rsid w:val="092D54BA"/>
    <w:rsid w:val="09475E50"/>
    <w:rsid w:val="094A0E22"/>
    <w:rsid w:val="095333E0"/>
    <w:rsid w:val="095D4648"/>
    <w:rsid w:val="096D3B08"/>
    <w:rsid w:val="097035F9"/>
    <w:rsid w:val="09C35E1E"/>
    <w:rsid w:val="09E65669"/>
    <w:rsid w:val="0A014251"/>
    <w:rsid w:val="0A360F3B"/>
    <w:rsid w:val="0A5E7D79"/>
    <w:rsid w:val="0A652A31"/>
    <w:rsid w:val="0A751338"/>
    <w:rsid w:val="0A7B014E"/>
    <w:rsid w:val="0A83110A"/>
    <w:rsid w:val="0AAF5EFC"/>
    <w:rsid w:val="0AC27E84"/>
    <w:rsid w:val="0AD32091"/>
    <w:rsid w:val="0AE47DFA"/>
    <w:rsid w:val="0AFD710E"/>
    <w:rsid w:val="0B114F81"/>
    <w:rsid w:val="0B297F03"/>
    <w:rsid w:val="0B4B60CB"/>
    <w:rsid w:val="0B553D58"/>
    <w:rsid w:val="0B732F2C"/>
    <w:rsid w:val="0B9F6417"/>
    <w:rsid w:val="0BBC48D3"/>
    <w:rsid w:val="0BD240F7"/>
    <w:rsid w:val="0BEC3432"/>
    <w:rsid w:val="0C090C79"/>
    <w:rsid w:val="0C25691C"/>
    <w:rsid w:val="0C364685"/>
    <w:rsid w:val="0C590374"/>
    <w:rsid w:val="0C676F35"/>
    <w:rsid w:val="0C7451AE"/>
    <w:rsid w:val="0C765646"/>
    <w:rsid w:val="0C9B2E03"/>
    <w:rsid w:val="0CF84031"/>
    <w:rsid w:val="0D411534"/>
    <w:rsid w:val="0D474670"/>
    <w:rsid w:val="0D6B3FC6"/>
    <w:rsid w:val="0D86663E"/>
    <w:rsid w:val="0DA158BD"/>
    <w:rsid w:val="0DA90E87"/>
    <w:rsid w:val="0DF30354"/>
    <w:rsid w:val="0DFE7425"/>
    <w:rsid w:val="0E083E00"/>
    <w:rsid w:val="0E4C63DE"/>
    <w:rsid w:val="0E574D87"/>
    <w:rsid w:val="0EA21A10"/>
    <w:rsid w:val="0ECB4993"/>
    <w:rsid w:val="0ED40186"/>
    <w:rsid w:val="0EDD5885"/>
    <w:rsid w:val="0EE3661B"/>
    <w:rsid w:val="0EE71CB8"/>
    <w:rsid w:val="0EEE7499"/>
    <w:rsid w:val="0EFB1BB6"/>
    <w:rsid w:val="0F167A9F"/>
    <w:rsid w:val="0F1D6E95"/>
    <w:rsid w:val="0F2A5FF8"/>
    <w:rsid w:val="0F4C41C0"/>
    <w:rsid w:val="0F707EAE"/>
    <w:rsid w:val="0F71204C"/>
    <w:rsid w:val="0F7C2CF7"/>
    <w:rsid w:val="0FCC5843"/>
    <w:rsid w:val="0FDB3317"/>
    <w:rsid w:val="0FE16FFE"/>
    <w:rsid w:val="0FF24D67"/>
    <w:rsid w:val="0FF410DA"/>
    <w:rsid w:val="101E5B5C"/>
    <w:rsid w:val="10352221"/>
    <w:rsid w:val="104F56D8"/>
    <w:rsid w:val="108654B0"/>
    <w:rsid w:val="108C51BC"/>
    <w:rsid w:val="10AB148B"/>
    <w:rsid w:val="110F2985"/>
    <w:rsid w:val="114A0BD3"/>
    <w:rsid w:val="11717F0E"/>
    <w:rsid w:val="119360D6"/>
    <w:rsid w:val="11A42091"/>
    <w:rsid w:val="11B0574F"/>
    <w:rsid w:val="11B36778"/>
    <w:rsid w:val="11CD31BE"/>
    <w:rsid w:val="11E60178"/>
    <w:rsid w:val="120B0E2B"/>
    <w:rsid w:val="121C431D"/>
    <w:rsid w:val="12252310"/>
    <w:rsid w:val="122D02D9"/>
    <w:rsid w:val="128033B9"/>
    <w:rsid w:val="12900868"/>
    <w:rsid w:val="12BE2ADA"/>
    <w:rsid w:val="12CA3D79"/>
    <w:rsid w:val="12F55D0D"/>
    <w:rsid w:val="13547F36"/>
    <w:rsid w:val="13954C4F"/>
    <w:rsid w:val="13955417"/>
    <w:rsid w:val="13D757E0"/>
    <w:rsid w:val="13DD640C"/>
    <w:rsid w:val="13DF5603"/>
    <w:rsid w:val="13ED7DB3"/>
    <w:rsid w:val="13F6294C"/>
    <w:rsid w:val="14010FA8"/>
    <w:rsid w:val="140908D1"/>
    <w:rsid w:val="141D437D"/>
    <w:rsid w:val="143771ED"/>
    <w:rsid w:val="14766474"/>
    <w:rsid w:val="147705EF"/>
    <w:rsid w:val="14983A03"/>
    <w:rsid w:val="14A10B0A"/>
    <w:rsid w:val="14CC3398"/>
    <w:rsid w:val="14E3018D"/>
    <w:rsid w:val="15046088"/>
    <w:rsid w:val="151403E4"/>
    <w:rsid w:val="152A0AFF"/>
    <w:rsid w:val="154D5F33"/>
    <w:rsid w:val="156E702A"/>
    <w:rsid w:val="15766E4A"/>
    <w:rsid w:val="158521DA"/>
    <w:rsid w:val="15A00DC2"/>
    <w:rsid w:val="15A21529"/>
    <w:rsid w:val="15AE34DE"/>
    <w:rsid w:val="15BB209F"/>
    <w:rsid w:val="15BF00E0"/>
    <w:rsid w:val="15C03212"/>
    <w:rsid w:val="162E2871"/>
    <w:rsid w:val="163E4C2A"/>
    <w:rsid w:val="165027E8"/>
    <w:rsid w:val="167A1994"/>
    <w:rsid w:val="168129A1"/>
    <w:rsid w:val="169143C2"/>
    <w:rsid w:val="16915389"/>
    <w:rsid w:val="169A3A63"/>
    <w:rsid w:val="16A7263C"/>
    <w:rsid w:val="16B56AEF"/>
    <w:rsid w:val="16FB6BF7"/>
    <w:rsid w:val="17175058"/>
    <w:rsid w:val="171750B3"/>
    <w:rsid w:val="172F4AF3"/>
    <w:rsid w:val="174437BC"/>
    <w:rsid w:val="175400B6"/>
    <w:rsid w:val="175E5E7D"/>
    <w:rsid w:val="1768590F"/>
    <w:rsid w:val="178D5376"/>
    <w:rsid w:val="17C302A9"/>
    <w:rsid w:val="17EA27C8"/>
    <w:rsid w:val="17EC6540"/>
    <w:rsid w:val="17F13B56"/>
    <w:rsid w:val="17F325E9"/>
    <w:rsid w:val="18042FAB"/>
    <w:rsid w:val="18253800"/>
    <w:rsid w:val="182F0130"/>
    <w:rsid w:val="184620F4"/>
    <w:rsid w:val="18506ACF"/>
    <w:rsid w:val="18637823"/>
    <w:rsid w:val="18721A3A"/>
    <w:rsid w:val="189015C1"/>
    <w:rsid w:val="18930873"/>
    <w:rsid w:val="18B63C84"/>
    <w:rsid w:val="18B74DA0"/>
    <w:rsid w:val="18BE612E"/>
    <w:rsid w:val="18C62E6C"/>
    <w:rsid w:val="18DF2F64"/>
    <w:rsid w:val="18E80644"/>
    <w:rsid w:val="18EE59BE"/>
    <w:rsid w:val="18F753A4"/>
    <w:rsid w:val="19573E8D"/>
    <w:rsid w:val="195C5947"/>
    <w:rsid w:val="195E521C"/>
    <w:rsid w:val="198253AE"/>
    <w:rsid w:val="198D5379"/>
    <w:rsid w:val="199724DC"/>
    <w:rsid w:val="199A3496"/>
    <w:rsid w:val="19A60971"/>
    <w:rsid w:val="19C37774"/>
    <w:rsid w:val="19C6079C"/>
    <w:rsid w:val="19E80F89"/>
    <w:rsid w:val="19E971DB"/>
    <w:rsid w:val="19EE47F1"/>
    <w:rsid w:val="19F416DC"/>
    <w:rsid w:val="1A18186E"/>
    <w:rsid w:val="1A1B4333"/>
    <w:rsid w:val="1A200723"/>
    <w:rsid w:val="1A404921"/>
    <w:rsid w:val="1A4E703E"/>
    <w:rsid w:val="1AA80E44"/>
    <w:rsid w:val="1ABF1CEA"/>
    <w:rsid w:val="1ADF05DE"/>
    <w:rsid w:val="1ADF24D1"/>
    <w:rsid w:val="1AF1038D"/>
    <w:rsid w:val="1AF23E6D"/>
    <w:rsid w:val="1AFE3B23"/>
    <w:rsid w:val="1B0E67CD"/>
    <w:rsid w:val="1B1F390C"/>
    <w:rsid w:val="1B397CEE"/>
    <w:rsid w:val="1B4B17D0"/>
    <w:rsid w:val="1B610933"/>
    <w:rsid w:val="1B617245"/>
    <w:rsid w:val="1B96095E"/>
    <w:rsid w:val="1BB82AD4"/>
    <w:rsid w:val="1BD21EF1"/>
    <w:rsid w:val="1BE13EE2"/>
    <w:rsid w:val="1C4E5A1B"/>
    <w:rsid w:val="1C71170A"/>
    <w:rsid w:val="1C9E3BBC"/>
    <w:rsid w:val="1CA10B36"/>
    <w:rsid w:val="1CAD0994"/>
    <w:rsid w:val="1CBB0AD9"/>
    <w:rsid w:val="1CED6FE2"/>
    <w:rsid w:val="1CF8755F"/>
    <w:rsid w:val="1CFD4D4B"/>
    <w:rsid w:val="1D181B85"/>
    <w:rsid w:val="1D574755"/>
    <w:rsid w:val="1D7C1F07"/>
    <w:rsid w:val="1D855E12"/>
    <w:rsid w:val="1DA84CB7"/>
    <w:rsid w:val="1DB01DBE"/>
    <w:rsid w:val="1DB16262"/>
    <w:rsid w:val="1DE33F41"/>
    <w:rsid w:val="1DEA662D"/>
    <w:rsid w:val="1DEF28E6"/>
    <w:rsid w:val="1E0068A1"/>
    <w:rsid w:val="1E3B5B2B"/>
    <w:rsid w:val="1E4D585F"/>
    <w:rsid w:val="1E58492F"/>
    <w:rsid w:val="1E6432D4"/>
    <w:rsid w:val="1E6A01BF"/>
    <w:rsid w:val="1E85324A"/>
    <w:rsid w:val="1EA6633C"/>
    <w:rsid w:val="1EA96F39"/>
    <w:rsid w:val="1EBB0A1A"/>
    <w:rsid w:val="1F1903A6"/>
    <w:rsid w:val="1F4461FD"/>
    <w:rsid w:val="1F460C2C"/>
    <w:rsid w:val="1F4B4494"/>
    <w:rsid w:val="1F510EDE"/>
    <w:rsid w:val="1F5275D0"/>
    <w:rsid w:val="1F784B5D"/>
    <w:rsid w:val="1F841754"/>
    <w:rsid w:val="1FA12306"/>
    <w:rsid w:val="1FC234F7"/>
    <w:rsid w:val="1FCD3566"/>
    <w:rsid w:val="1FE17F3F"/>
    <w:rsid w:val="20124FB2"/>
    <w:rsid w:val="20126D60"/>
    <w:rsid w:val="20196340"/>
    <w:rsid w:val="20270A5D"/>
    <w:rsid w:val="202B14FE"/>
    <w:rsid w:val="20367C8D"/>
    <w:rsid w:val="2069786D"/>
    <w:rsid w:val="206B3A09"/>
    <w:rsid w:val="207435EC"/>
    <w:rsid w:val="208F03B0"/>
    <w:rsid w:val="2103718B"/>
    <w:rsid w:val="21264248"/>
    <w:rsid w:val="21380A48"/>
    <w:rsid w:val="21382AF2"/>
    <w:rsid w:val="214271D1"/>
    <w:rsid w:val="214E4024"/>
    <w:rsid w:val="21507B40"/>
    <w:rsid w:val="21621621"/>
    <w:rsid w:val="21AA52DA"/>
    <w:rsid w:val="21B76DA4"/>
    <w:rsid w:val="21BA320B"/>
    <w:rsid w:val="21C422DC"/>
    <w:rsid w:val="21DB7773"/>
    <w:rsid w:val="21F7620D"/>
    <w:rsid w:val="221C2118"/>
    <w:rsid w:val="222039B6"/>
    <w:rsid w:val="22244B28"/>
    <w:rsid w:val="22347461"/>
    <w:rsid w:val="22737F8A"/>
    <w:rsid w:val="22AC524A"/>
    <w:rsid w:val="22AE5C74"/>
    <w:rsid w:val="22CA019D"/>
    <w:rsid w:val="22CA3922"/>
    <w:rsid w:val="22D402FC"/>
    <w:rsid w:val="22F453DF"/>
    <w:rsid w:val="22F97D63"/>
    <w:rsid w:val="231D1CA3"/>
    <w:rsid w:val="231D7EF5"/>
    <w:rsid w:val="23674538"/>
    <w:rsid w:val="23B048C6"/>
    <w:rsid w:val="23F92711"/>
    <w:rsid w:val="24582CB2"/>
    <w:rsid w:val="247B1377"/>
    <w:rsid w:val="24861ACA"/>
    <w:rsid w:val="24877D1C"/>
    <w:rsid w:val="2492569B"/>
    <w:rsid w:val="24942CCA"/>
    <w:rsid w:val="249447D8"/>
    <w:rsid w:val="249B799E"/>
    <w:rsid w:val="251470D6"/>
    <w:rsid w:val="253A5E11"/>
    <w:rsid w:val="2547125A"/>
    <w:rsid w:val="255E3A3D"/>
    <w:rsid w:val="25654FBE"/>
    <w:rsid w:val="258424AE"/>
    <w:rsid w:val="259668BA"/>
    <w:rsid w:val="25A20B86"/>
    <w:rsid w:val="25D93CC6"/>
    <w:rsid w:val="25DB517C"/>
    <w:rsid w:val="25E666AB"/>
    <w:rsid w:val="25EB6089"/>
    <w:rsid w:val="260E1D77"/>
    <w:rsid w:val="26121868"/>
    <w:rsid w:val="26127ABA"/>
    <w:rsid w:val="261F538B"/>
    <w:rsid w:val="26415879"/>
    <w:rsid w:val="264B50B3"/>
    <w:rsid w:val="267A11BB"/>
    <w:rsid w:val="26A94D1C"/>
    <w:rsid w:val="26C94F4F"/>
    <w:rsid w:val="26D57446"/>
    <w:rsid w:val="26D7077D"/>
    <w:rsid w:val="26E45600"/>
    <w:rsid w:val="26F3289E"/>
    <w:rsid w:val="277C4D74"/>
    <w:rsid w:val="27982240"/>
    <w:rsid w:val="27A01F78"/>
    <w:rsid w:val="27BC01D7"/>
    <w:rsid w:val="27FF406E"/>
    <w:rsid w:val="2816219C"/>
    <w:rsid w:val="281E30AB"/>
    <w:rsid w:val="283A2895"/>
    <w:rsid w:val="284919A9"/>
    <w:rsid w:val="285F68BA"/>
    <w:rsid w:val="28650375"/>
    <w:rsid w:val="287B5AA5"/>
    <w:rsid w:val="28844573"/>
    <w:rsid w:val="2886653D"/>
    <w:rsid w:val="288F719F"/>
    <w:rsid w:val="2893029D"/>
    <w:rsid w:val="28937464"/>
    <w:rsid w:val="28A013AD"/>
    <w:rsid w:val="28A218C8"/>
    <w:rsid w:val="28BE1833"/>
    <w:rsid w:val="28CE352E"/>
    <w:rsid w:val="28DE606E"/>
    <w:rsid w:val="28E13773"/>
    <w:rsid w:val="28F6721F"/>
    <w:rsid w:val="29451F54"/>
    <w:rsid w:val="295E3016"/>
    <w:rsid w:val="297A5D3F"/>
    <w:rsid w:val="29AE7AF9"/>
    <w:rsid w:val="29BA46F0"/>
    <w:rsid w:val="2A0239A1"/>
    <w:rsid w:val="2A0508FD"/>
    <w:rsid w:val="2A3049B2"/>
    <w:rsid w:val="2A306760"/>
    <w:rsid w:val="2A454A49"/>
    <w:rsid w:val="2A4B0CA1"/>
    <w:rsid w:val="2A612DBE"/>
    <w:rsid w:val="2A6E6792"/>
    <w:rsid w:val="2AB27175"/>
    <w:rsid w:val="2AB70C30"/>
    <w:rsid w:val="2AC76693"/>
    <w:rsid w:val="2B02634F"/>
    <w:rsid w:val="2B0F45C8"/>
    <w:rsid w:val="2B27088D"/>
    <w:rsid w:val="2B285689"/>
    <w:rsid w:val="2B4C581C"/>
    <w:rsid w:val="2B6366C1"/>
    <w:rsid w:val="2B6956A2"/>
    <w:rsid w:val="2B6C1A1A"/>
    <w:rsid w:val="2B7411BF"/>
    <w:rsid w:val="2B896186"/>
    <w:rsid w:val="2B8A6CC9"/>
    <w:rsid w:val="2BA42C6D"/>
    <w:rsid w:val="2BA74800"/>
    <w:rsid w:val="2BAE2033"/>
    <w:rsid w:val="2BCA27F8"/>
    <w:rsid w:val="2BD61589"/>
    <w:rsid w:val="2BD80E5D"/>
    <w:rsid w:val="2BE6077D"/>
    <w:rsid w:val="2BEE0681"/>
    <w:rsid w:val="2BF40509"/>
    <w:rsid w:val="2C1520B2"/>
    <w:rsid w:val="2C2C53D1"/>
    <w:rsid w:val="2C385DA0"/>
    <w:rsid w:val="2C626979"/>
    <w:rsid w:val="2C6C3308"/>
    <w:rsid w:val="2C8132A3"/>
    <w:rsid w:val="2C8D7E9A"/>
    <w:rsid w:val="2C956D4E"/>
    <w:rsid w:val="2C9F5E1F"/>
    <w:rsid w:val="2CA565C0"/>
    <w:rsid w:val="2CD86C3B"/>
    <w:rsid w:val="2CDC672B"/>
    <w:rsid w:val="2CE675AA"/>
    <w:rsid w:val="2D035D18"/>
    <w:rsid w:val="2D113C66"/>
    <w:rsid w:val="2D142369"/>
    <w:rsid w:val="2D2A393B"/>
    <w:rsid w:val="2D42586A"/>
    <w:rsid w:val="2D546C0A"/>
    <w:rsid w:val="2D713797"/>
    <w:rsid w:val="2D8F7C42"/>
    <w:rsid w:val="2DC07DFB"/>
    <w:rsid w:val="2DC31B9F"/>
    <w:rsid w:val="2DE97352"/>
    <w:rsid w:val="2DF9330D"/>
    <w:rsid w:val="2DFB7085"/>
    <w:rsid w:val="2E0F2B31"/>
    <w:rsid w:val="2E3850C1"/>
    <w:rsid w:val="2E4E5407"/>
    <w:rsid w:val="2E693FEF"/>
    <w:rsid w:val="2E8E720E"/>
    <w:rsid w:val="2E9B383B"/>
    <w:rsid w:val="2EA15E7F"/>
    <w:rsid w:val="2EAB0AAB"/>
    <w:rsid w:val="2EB060C2"/>
    <w:rsid w:val="2EB23BE8"/>
    <w:rsid w:val="2EBF00B3"/>
    <w:rsid w:val="2EC0032A"/>
    <w:rsid w:val="2ECF7828"/>
    <w:rsid w:val="2ED57590"/>
    <w:rsid w:val="2EE644C2"/>
    <w:rsid w:val="2EEC795A"/>
    <w:rsid w:val="2F000DF7"/>
    <w:rsid w:val="2F362CA9"/>
    <w:rsid w:val="2F4862FA"/>
    <w:rsid w:val="2F492E1B"/>
    <w:rsid w:val="2F511653"/>
    <w:rsid w:val="2F6F1AD9"/>
    <w:rsid w:val="2F8D1F5F"/>
    <w:rsid w:val="2F911BBA"/>
    <w:rsid w:val="2FAD01EE"/>
    <w:rsid w:val="2FBF5F24"/>
    <w:rsid w:val="2FC71915"/>
    <w:rsid w:val="2FF76FFC"/>
    <w:rsid w:val="30085A89"/>
    <w:rsid w:val="300C33B5"/>
    <w:rsid w:val="3010496C"/>
    <w:rsid w:val="30136908"/>
    <w:rsid w:val="30261FF5"/>
    <w:rsid w:val="3062163D"/>
    <w:rsid w:val="3075311F"/>
    <w:rsid w:val="309437AD"/>
    <w:rsid w:val="30986E0D"/>
    <w:rsid w:val="309A2B85"/>
    <w:rsid w:val="30C300FB"/>
    <w:rsid w:val="30CB2D3F"/>
    <w:rsid w:val="30D65186"/>
    <w:rsid w:val="30E43E01"/>
    <w:rsid w:val="310B5342"/>
    <w:rsid w:val="3118473F"/>
    <w:rsid w:val="31230F82"/>
    <w:rsid w:val="31395673"/>
    <w:rsid w:val="31457DBA"/>
    <w:rsid w:val="314D409C"/>
    <w:rsid w:val="31501496"/>
    <w:rsid w:val="316F4DC1"/>
    <w:rsid w:val="31865912"/>
    <w:rsid w:val="318A10D1"/>
    <w:rsid w:val="31C73C21"/>
    <w:rsid w:val="31CF761B"/>
    <w:rsid w:val="31E71DFA"/>
    <w:rsid w:val="31F771A5"/>
    <w:rsid w:val="31F84007"/>
    <w:rsid w:val="31FA51BC"/>
    <w:rsid w:val="31FE5396"/>
    <w:rsid w:val="322070BA"/>
    <w:rsid w:val="324059AE"/>
    <w:rsid w:val="32544FB6"/>
    <w:rsid w:val="32607CF5"/>
    <w:rsid w:val="326C6B22"/>
    <w:rsid w:val="326D7CE5"/>
    <w:rsid w:val="327F7610"/>
    <w:rsid w:val="328919BE"/>
    <w:rsid w:val="32B54CE3"/>
    <w:rsid w:val="32D57EA5"/>
    <w:rsid w:val="32E225C2"/>
    <w:rsid w:val="32F56799"/>
    <w:rsid w:val="32F87181"/>
    <w:rsid w:val="3301513E"/>
    <w:rsid w:val="33105381"/>
    <w:rsid w:val="334610C3"/>
    <w:rsid w:val="336F654B"/>
    <w:rsid w:val="33745910"/>
    <w:rsid w:val="33995376"/>
    <w:rsid w:val="339A4C4A"/>
    <w:rsid w:val="33AC5D33"/>
    <w:rsid w:val="33B10912"/>
    <w:rsid w:val="33EA4839"/>
    <w:rsid w:val="343D03F7"/>
    <w:rsid w:val="34401C96"/>
    <w:rsid w:val="3442764E"/>
    <w:rsid w:val="34775FD7"/>
    <w:rsid w:val="3489363D"/>
    <w:rsid w:val="34A71D15"/>
    <w:rsid w:val="34CB7297"/>
    <w:rsid w:val="34FA62E8"/>
    <w:rsid w:val="34FF56AD"/>
    <w:rsid w:val="35262C3A"/>
    <w:rsid w:val="35350179"/>
    <w:rsid w:val="355373CC"/>
    <w:rsid w:val="355435F3"/>
    <w:rsid w:val="355C0417"/>
    <w:rsid w:val="355F7EFA"/>
    <w:rsid w:val="35944047"/>
    <w:rsid w:val="359F29EC"/>
    <w:rsid w:val="35B20B6C"/>
    <w:rsid w:val="35BC17F0"/>
    <w:rsid w:val="35D703D8"/>
    <w:rsid w:val="35F3768A"/>
    <w:rsid w:val="35F9034E"/>
    <w:rsid w:val="360B6071"/>
    <w:rsid w:val="36115CD8"/>
    <w:rsid w:val="364F4412"/>
    <w:rsid w:val="36660DCA"/>
    <w:rsid w:val="36682978"/>
    <w:rsid w:val="369E2CA4"/>
    <w:rsid w:val="36BA5D2F"/>
    <w:rsid w:val="36EA5EE9"/>
    <w:rsid w:val="36EC7EB3"/>
    <w:rsid w:val="36EF1119"/>
    <w:rsid w:val="36FA437E"/>
    <w:rsid w:val="37192794"/>
    <w:rsid w:val="375A4D0E"/>
    <w:rsid w:val="37677539"/>
    <w:rsid w:val="376F66E4"/>
    <w:rsid w:val="37863E63"/>
    <w:rsid w:val="37A31AD7"/>
    <w:rsid w:val="37BC7885"/>
    <w:rsid w:val="37EE37B7"/>
    <w:rsid w:val="37FF7772"/>
    <w:rsid w:val="381256F7"/>
    <w:rsid w:val="381551E7"/>
    <w:rsid w:val="381D66D7"/>
    <w:rsid w:val="3848736B"/>
    <w:rsid w:val="384D4981"/>
    <w:rsid w:val="386121DB"/>
    <w:rsid w:val="38637D01"/>
    <w:rsid w:val="38752BC9"/>
    <w:rsid w:val="388037F2"/>
    <w:rsid w:val="38993243"/>
    <w:rsid w:val="38DF3392"/>
    <w:rsid w:val="38E726E0"/>
    <w:rsid w:val="38F1355F"/>
    <w:rsid w:val="38F17A02"/>
    <w:rsid w:val="38F512A1"/>
    <w:rsid w:val="38FD7316"/>
    <w:rsid w:val="3905700A"/>
    <w:rsid w:val="3915757C"/>
    <w:rsid w:val="39331DC9"/>
    <w:rsid w:val="39382F3B"/>
    <w:rsid w:val="39403E5D"/>
    <w:rsid w:val="394713D0"/>
    <w:rsid w:val="39663F4D"/>
    <w:rsid w:val="39952946"/>
    <w:rsid w:val="39AC69D2"/>
    <w:rsid w:val="39B32F0A"/>
    <w:rsid w:val="39BE7D79"/>
    <w:rsid w:val="39C507B3"/>
    <w:rsid w:val="39D25301"/>
    <w:rsid w:val="39FF7EFD"/>
    <w:rsid w:val="3A3758E9"/>
    <w:rsid w:val="3A3F6FD4"/>
    <w:rsid w:val="3A54334A"/>
    <w:rsid w:val="3A563FC1"/>
    <w:rsid w:val="3A9C74FA"/>
    <w:rsid w:val="3AA36D3C"/>
    <w:rsid w:val="3AA840F1"/>
    <w:rsid w:val="3AB213D9"/>
    <w:rsid w:val="3AF15A98"/>
    <w:rsid w:val="3B082DE1"/>
    <w:rsid w:val="3B313787"/>
    <w:rsid w:val="3B462AC1"/>
    <w:rsid w:val="3B471B5C"/>
    <w:rsid w:val="3B4C2CCE"/>
    <w:rsid w:val="3B5953EB"/>
    <w:rsid w:val="3BA174BE"/>
    <w:rsid w:val="3BAC751F"/>
    <w:rsid w:val="3BAD416B"/>
    <w:rsid w:val="3BB37FF1"/>
    <w:rsid w:val="3BBF1B85"/>
    <w:rsid w:val="3BC82C9D"/>
    <w:rsid w:val="3BD3168B"/>
    <w:rsid w:val="3C1C4D96"/>
    <w:rsid w:val="3C44609B"/>
    <w:rsid w:val="3C4C743E"/>
    <w:rsid w:val="3C7563FB"/>
    <w:rsid w:val="3C81212D"/>
    <w:rsid w:val="3C972E5F"/>
    <w:rsid w:val="3CA12CE1"/>
    <w:rsid w:val="3CAD2038"/>
    <w:rsid w:val="3CAD7649"/>
    <w:rsid w:val="3CB43221"/>
    <w:rsid w:val="3CBE7BFC"/>
    <w:rsid w:val="3CEC6CB2"/>
    <w:rsid w:val="3CED6733"/>
    <w:rsid w:val="3D14462E"/>
    <w:rsid w:val="3D2A36DD"/>
    <w:rsid w:val="3D3659E4"/>
    <w:rsid w:val="3D38117F"/>
    <w:rsid w:val="3D412CB4"/>
    <w:rsid w:val="3D453243"/>
    <w:rsid w:val="3D5C3F5E"/>
    <w:rsid w:val="3D672041"/>
    <w:rsid w:val="3D736C38"/>
    <w:rsid w:val="3D864BBD"/>
    <w:rsid w:val="3D8F1598"/>
    <w:rsid w:val="3DC7508C"/>
    <w:rsid w:val="3DC92CFC"/>
    <w:rsid w:val="3DCE3E6E"/>
    <w:rsid w:val="3DD84CED"/>
    <w:rsid w:val="3DE05B98"/>
    <w:rsid w:val="3E04082E"/>
    <w:rsid w:val="3E09134A"/>
    <w:rsid w:val="3E0B50C2"/>
    <w:rsid w:val="3E135D25"/>
    <w:rsid w:val="3E1D6697"/>
    <w:rsid w:val="3E52684D"/>
    <w:rsid w:val="3E5770D5"/>
    <w:rsid w:val="3E7F378A"/>
    <w:rsid w:val="3E8F55F5"/>
    <w:rsid w:val="3E95498C"/>
    <w:rsid w:val="3E9C21BE"/>
    <w:rsid w:val="3EA352FB"/>
    <w:rsid w:val="3EAF3CA0"/>
    <w:rsid w:val="3EBD52C2"/>
    <w:rsid w:val="3ED25BE0"/>
    <w:rsid w:val="3EDD0D57"/>
    <w:rsid w:val="3EE057E6"/>
    <w:rsid w:val="3EEA4CD8"/>
    <w:rsid w:val="3F0538C0"/>
    <w:rsid w:val="3F1A1CC2"/>
    <w:rsid w:val="3F225016"/>
    <w:rsid w:val="3F301235"/>
    <w:rsid w:val="3F454604"/>
    <w:rsid w:val="3F855EF6"/>
    <w:rsid w:val="3F9335C1"/>
    <w:rsid w:val="3F9D7F9C"/>
    <w:rsid w:val="3F9F3D14"/>
    <w:rsid w:val="3FBF5910"/>
    <w:rsid w:val="3FC01EDD"/>
    <w:rsid w:val="3FC904D2"/>
    <w:rsid w:val="3FC92B3F"/>
    <w:rsid w:val="3FCB3A93"/>
    <w:rsid w:val="3FCF3ECE"/>
    <w:rsid w:val="3FF87828"/>
    <w:rsid w:val="400D0A7E"/>
    <w:rsid w:val="40414DCB"/>
    <w:rsid w:val="404C3770"/>
    <w:rsid w:val="406805AA"/>
    <w:rsid w:val="4070030D"/>
    <w:rsid w:val="4077259B"/>
    <w:rsid w:val="4093253B"/>
    <w:rsid w:val="40F22301"/>
    <w:rsid w:val="40F2256A"/>
    <w:rsid w:val="40F32BF1"/>
    <w:rsid w:val="40F462E2"/>
    <w:rsid w:val="40FE0F0E"/>
    <w:rsid w:val="41061B71"/>
    <w:rsid w:val="410A1661"/>
    <w:rsid w:val="41197AF6"/>
    <w:rsid w:val="414D1465"/>
    <w:rsid w:val="4157061F"/>
    <w:rsid w:val="41591156"/>
    <w:rsid w:val="41801923"/>
    <w:rsid w:val="419137C3"/>
    <w:rsid w:val="419B675D"/>
    <w:rsid w:val="419D4283"/>
    <w:rsid w:val="41B55B4E"/>
    <w:rsid w:val="41C23CEA"/>
    <w:rsid w:val="41D103D1"/>
    <w:rsid w:val="41D8350E"/>
    <w:rsid w:val="4206193C"/>
    <w:rsid w:val="42156510"/>
    <w:rsid w:val="426E3E72"/>
    <w:rsid w:val="426E5C20"/>
    <w:rsid w:val="428471F1"/>
    <w:rsid w:val="42922F05"/>
    <w:rsid w:val="42AD499A"/>
    <w:rsid w:val="42AE24C0"/>
    <w:rsid w:val="42D71A17"/>
    <w:rsid w:val="42DF267A"/>
    <w:rsid w:val="431D26E3"/>
    <w:rsid w:val="43284021"/>
    <w:rsid w:val="433E3844"/>
    <w:rsid w:val="435C1F1C"/>
    <w:rsid w:val="435F79D0"/>
    <w:rsid w:val="436314FD"/>
    <w:rsid w:val="43653127"/>
    <w:rsid w:val="437E00E5"/>
    <w:rsid w:val="43846D49"/>
    <w:rsid w:val="43915383"/>
    <w:rsid w:val="43BB30E7"/>
    <w:rsid w:val="43C624F6"/>
    <w:rsid w:val="43E50164"/>
    <w:rsid w:val="43E908BD"/>
    <w:rsid w:val="43FD2CE3"/>
    <w:rsid w:val="440A1978"/>
    <w:rsid w:val="44185E43"/>
    <w:rsid w:val="442347E8"/>
    <w:rsid w:val="443E1EDD"/>
    <w:rsid w:val="4453331F"/>
    <w:rsid w:val="4455558E"/>
    <w:rsid w:val="445F1CC4"/>
    <w:rsid w:val="449C0E15"/>
    <w:rsid w:val="449D0A3E"/>
    <w:rsid w:val="44A26055"/>
    <w:rsid w:val="44C361AF"/>
    <w:rsid w:val="44C43BFE"/>
    <w:rsid w:val="44C46F12"/>
    <w:rsid w:val="44EE129A"/>
    <w:rsid w:val="45160FEA"/>
    <w:rsid w:val="451C2193"/>
    <w:rsid w:val="452B604A"/>
    <w:rsid w:val="45352A25"/>
    <w:rsid w:val="454113CA"/>
    <w:rsid w:val="45700EE7"/>
    <w:rsid w:val="45751C81"/>
    <w:rsid w:val="458D0C19"/>
    <w:rsid w:val="459534C4"/>
    <w:rsid w:val="45992FB4"/>
    <w:rsid w:val="45A656D1"/>
    <w:rsid w:val="45AA6F6F"/>
    <w:rsid w:val="45AE3F37"/>
    <w:rsid w:val="45C1250B"/>
    <w:rsid w:val="45D65FB6"/>
    <w:rsid w:val="45E561F9"/>
    <w:rsid w:val="45EB20B8"/>
    <w:rsid w:val="46026DAD"/>
    <w:rsid w:val="461A2D0E"/>
    <w:rsid w:val="46401681"/>
    <w:rsid w:val="466B2BA2"/>
    <w:rsid w:val="467A0C55"/>
    <w:rsid w:val="468A0B4E"/>
    <w:rsid w:val="46906ED3"/>
    <w:rsid w:val="46A04578"/>
    <w:rsid w:val="46B207D1"/>
    <w:rsid w:val="46B53706"/>
    <w:rsid w:val="46CE08E8"/>
    <w:rsid w:val="46D22C21"/>
    <w:rsid w:val="46F838A8"/>
    <w:rsid w:val="46FF153C"/>
    <w:rsid w:val="474927B8"/>
    <w:rsid w:val="474E7DCE"/>
    <w:rsid w:val="47596E9F"/>
    <w:rsid w:val="478101A3"/>
    <w:rsid w:val="478B4B7E"/>
    <w:rsid w:val="47AE731A"/>
    <w:rsid w:val="47B90762"/>
    <w:rsid w:val="47C63E08"/>
    <w:rsid w:val="47E07D19"/>
    <w:rsid w:val="481728B6"/>
    <w:rsid w:val="48294260"/>
    <w:rsid w:val="484C6A03"/>
    <w:rsid w:val="48621D83"/>
    <w:rsid w:val="486908CB"/>
    <w:rsid w:val="48733F90"/>
    <w:rsid w:val="48AB197C"/>
    <w:rsid w:val="48AD79E8"/>
    <w:rsid w:val="48CA7928"/>
    <w:rsid w:val="48DC7D87"/>
    <w:rsid w:val="48F549A5"/>
    <w:rsid w:val="48FF3A76"/>
    <w:rsid w:val="4901159C"/>
    <w:rsid w:val="490660B7"/>
    <w:rsid w:val="490E5A67"/>
    <w:rsid w:val="49172B6D"/>
    <w:rsid w:val="491F33FC"/>
    <w:rsid w:val="492C01F9"/>
    <w:rsid w:val="492C1F93"/>
    <w:rsid w:val="49302542"/>
    <w:rsid w:val="49AB775A"/>
    <w:rsid w:val="49AD702E"/>
    <w:rsid w:val="49CA7BE0"/>
    <w:rsid w:val="49E45491"/>
    <w:rsid w:val="49EC3FFA"/>
    <w:rsid w:val="49F2635D"/>
    <w:rsid w:val="49F92273"/>
    <w:rsid w:val="4A5E47CC"/>
    <w:rsid w:val="4A9D52F4"/>
    <w:rsid w:val="4AB01E3E"/>
    <w:rsid w:val="4AB16FF2"/>
    <w:rsid w:val="4AC349A4"/>
    <w:rsid w:val="4AC76815"/>
    <w:rsid w:val="4ADB1B7B"/>
    <w:rsid w:val="4AE21992"/>
    <w:rsid w:val="4AEF3676"/>
    <w:rsid w:val="4AF155E5"/>
    <w:rsid w:val="4AF84C20"/>
    <w:rsid w:val="4B004812"/>
    <w:rsid w:val="4B03749E"/>
    <w:rsid w:val="4B0A243B"/>
    <w:rsid w:val="4B0B04B0"/>
    <w:rsid w:val="4B15132F"/>
    <w:rsid w:val="4B1E40FF"/>
    <w:rsid w:val="4B2B2277"/>
    <w:rsid w:val="4B3774F7"/>
    <w:rsid w:val="4B85213F"/>
    <w:rsid w:val="4B865D88"/>
    <w:rsid w:val="4B977F95"/>
    <w:rsid w:val="4BAB57EF"/>
    <w:rsid w:val="4BE17463"/>
    <w:rsid w:val="4BF453E8"/>
    <w:rsid w:val="4C2C5AF7"/>
    <w:rsid w:val="4C35155C"/>
    <w:rsid w:val="4C5E0AB3"/>
    <w:rsid w:val="4C6F2CC0"/>
    <w:rsid w:val="4C79769B"/>
    <w:rsid w:val="4C7E1B40"/>
    <w:rsid w:val="4C951AAA"/>
    <w:rsid w:val="4CB23EB0"/>
    <w:rsid w:val="4CD55219"/>
    <w:rsid w:val="4CE23492"/>
    <w:rsid w:val="4D1C5CDC"/>
    <w:rsid w:val="4D217CAC"/>
    <w:rsid w:val="4D5B4FF3"/>
    <w:rsid w:val="4D671BE9"/>
    <w:rsid w:val="4D7367E0"/>
    <w:rsid w:val="4D9C1893"/>
    <w:rsid w:val="4DAD1CF2"/>
    <w:rsid w:val="4DBC2B9E"/>
    <w:rsid w:val="4DC42B98"/>
    <w:rsid w:val="4DC66910"/>
    <w:rsid w:val="4E353A96"/>
    <w:rsid w:val="4E5A30AF"/>
    <w:rsid w:val="4E734FA6"/>
    <w:rsid w:val="4E8269C0"/>
    <w:rsid w:val="4EA02117"/>
    <w:rsid w:val="4EA56E6D"/>
    <w:rsid w:val="4EBB043F"/>
    <w:rsid w:val="4EC76DE4"/>
    <w:rsid w:val="4EC86989"/>
    <w:rsid w:val="4EF61477"/>
    <w:rsid w:val="4F041DE6"/>
    <w:rsid w:val="4F143097"/>
    <w:rsid w:val="4F1A33B7"/>
    <w:rsid w:val="4F416B96"/>
    <w:rsid w:val="4F4F0B87"/>
    <w:rsid w:val="4F552641"/>
    <w:rsid w:val="4F606457"/>
    <w:rsid w:val="4F6636A0"/>
    <w:rsid w:val="4F702FD7"/>
    <w:rsid w:val="4F782991"/>
    <w:rsid w:val="4F846A83"/>
    <w:rsid w:val="4F904CE4"/>
    <w:rsid w:val="4FA7635F"/>
    <w:rsid w:val="4FC6709B"/>
    <w:rsid w:val="4FCF5EA2"/>
    <w:rsid w:val="4FD73F66"/>
    <w:rsid w:val="4FF60177"/>
    <w:rsid w:val="4FF77255"/>
    <w:rsid w:val="4FFA69D9"/>
    <w:rsid w:val="50081C81"/>
    <w:rsid w:val="500951DA"/>
    <w:rsid w:val="504B6903"/>
    <w:rsid w:val="50964CC0"/>
    <w:rsid w:val="509727E6"/>
    <w:rsid w:val="50A2441A"/>
    <w:rsid w:val="50A62A29"/>
    <w:rsid w:val="50D52FD1"/>
    <w:rsid w:val="50D77E30"/>
    <w:rsid w:val="50F934A0"/>
    <w:rsid w:val="510559A1"/>
    <w:rsid w:val="51071719"/>
    <w:rsid w:val="510840F6"/>
    <w:rsid w:val="514B7ECE"/>
    <w:rsid w:val="51905BB3"/>
    <w:rsid w:val="51B50D1A"/>
    <w:rsid w:val="51C21AE4"/>
    <w:rsid w:val="51EE4687"/>
    <w:rsid w:val="51F06651"/>
    <w:rsid w:val="51F72A4C"/>
    <w:rsid w:val="51F755A0"/>
    <w:rsid w:val="520B58B9"/>
    <w:rsid w:val="521A4397"/>
    <w:rsid w:val="52355AB6"/>
    <w:rsid w:val="52417E92"/>
    <w:rsid w:val="52495D62"/>
    <w:rsid w:val="52660AB8"/>
    <w:rsid w:val="526E1AD5"/>
    <w:rsid w:val="52754DA9"/>
    <w:rsid w:val="52D71E9D"/>
    <w:rsid w:val="52E30F1A"/>
    <w:rsid w:val="52E87329"/>
    <w:rsid w:val="52F61A46"/>
    <w:rsid w:val="52F91536"/>
    <w:rsid w:val="53065A01"/>
    <w:rsid w:val="532E351C"/>
    <w:rsid w:val="53395DD6"/>
    <w:rsid w:val="533D7674"/>
    <w:rsid w:val="534D72F9"/>
    <w:rsid w:val="536746F1"/>
    <w:rsid w:val="53690469"/>
    <w:rsid w:val="537A2677"/>
    <w:rsid w:val="5385656B"/>
    <w:rsid w:val="539F20DD"/>
    <w:rsid w:val="53C9747A"/>
    <w:rsid w:val="53D67BC3"/>
    <w:rsid w:val="53EB13F5"/>
    <w:rsid w:val="53EF0B8F"/>
    <w:rsid w:val="541B220A"/>
    <w:rsid w:val="54212AF2"/>
    <w:rsid w:val="542924D4"/>
    <w:rsid w:val="543D36A4"/>
    <w:rsid w:val="5462174E"/>
    <w:rsid w:val="546604E3"/>
    <w:rsid w:val="54837309"/>
    <w:rsid w:val="548F2002"/>
    <w:rsid w:val="549F7EBB"/>
    <w:rsid w:val="54B870ED"/>
    <w:rsid w:val="54E81862"/>
    <w:rsid w:val="55083CB2"/>
    <w:rsid w:val="55084BBB"/>
    <w:rsid w:val="550906FB"/>
    <w:rsid w:val="55222FC6"/>
    <w:rsid w:val="552705DC"/>
    <w:rsid w:val="552F3F2D"/>
    <w:rsid w:val="553140A7"/>
    <w:rsid w:val="5536081F"/>
    <w:rsid w:val="5587107B"/>
    <w:rsid w:val="5588094F"/>
    <w:rsid w:val="559230A5"/>
    <w:rsid w:val="55AA6B17"/>
    <w:rsid w:val="55AA7162"/>
    <w:rsid w:val="55C027DF"/>
    <w:rsid w:val="55CF47D0"/>
    <w:rsid w:val="55D57AC8"/>
    <w:rsid w:val="55DB54FF"/>
    <w:rsid w:val="55FF50B5"/>
    <w:rsid w:val="56093A85"/>
    <w:rsid w:val="561B7A15"/>
    <w:rsid w:val="563C1E65"/>
    <w:rsid w:val="56462CE4"/>
    <w:rsid w:val="565F7902"/>
    <w:rsid w:val="566D6A2E"/>
    <w:rsid w:val="569C717E"/>
    <w:rsid w:val="569E667C"/>
    <w:rsid w:val="56CF60B3"/>
    <w:rsid w:val="56D976B4"/>
    <w:rsid w:val="56E02754"/>
    <w:rsid w:val="56F53441"/>
    <w:rsid w:val="56FE78F9"/>
    <w:rsid w:val="570A2391"/>
    <w:rsid w:val="571E6A72"/>
    <w:rsid w:val="57266671"/>
    <w:rsid w:val="573C40E7"/>
    <w:rsid w:val="574134AB"/>
    <w:rsid w:val="57432B3B"/>
    <w:rsid w:val="575F0B95"/>
    <w:rsid w:val="57650F48"/>
    <w:rsid w:val="57713D91"/>
    <w:rsid w:val="57776ECD"/>
    <w:rsid w:val="57A129FF"/>
    <w:rsid w:val="57A71560"/>
    <w:rsid w:val="57B36263"/>
    <w:rsid w:val="57B867C3"/>
    <w:rsid w:val="57D04F5B"/>
    <w:rsid w:val="57F81DBC"/>
    <w:rsid w:val="58136BF6"/>
    <w:rsid w:val="58242BB1"/>
    <w:rsid w:val="582E3A30"/>
    <w:rsid w:val="58544F61"/>
    <w:rsid w:val="58966556"/>
    <w:rsid w:val="58D02D39"/>
    <w:rsid w:val="58D86225"/>
    <w:rsid w:val="58F22CAF"/>
    <w:rsid w:val="58F509F1"/>
    <w:rsid w:val="58F93587"/>
    <w:rsid w:val="59080725"/>
    <w:rsid w:val="591071A1"/>
    <w:rsid w:val="5939461F"/>
    <w:rsid w:val="59594ADC"/>
    <w:rsid w:val="59976AE7"/>
    <w:rsid w:val="59D40607"/>
    <w:rsid w:val="59E55791"/>
    <w:rsid w:val="5A04660A"/>
    <w:rsid w:val="5A1F51DD"/>
    <w:rsid w:val="5A285A13"/>
    <w:rsid w:val="5A344EA3"/>
    <w:rsid w:val="5A7476F4"/>
    <w:rsid w:val="5A8C626D"/>
    <w:rsid w:val="5A9A1055"/>
    <w:rsid w:val="5AAB33C8"/>
    <w:rsid w:val="5AAB580B"/>
    <w:rsid w:val="5AB1307D"/>
    <w:rsid w:val="5ABD553F"/>
    <w:rsid w:val="5ADC59C5"/>
    <w:rsid w:val="5AED5634"/>
    <w:rsid w:val="5AF01470"/>
    <w:rsid w:val="5AF30F60"/>
    <w:rsid w:val="5AF679F7"/>
    <w:rsid w:val="5AF820D3"/>
    <w:rsid w:val="5B1F1D55"/>
    <w:rsid w:val="5B2D4472"/>
    <w:rsid w:val="5B2D6220"/>
    <w:rsid w:val="5B3D7191"/>
    <w:rsid w:val="5B557CC7"/>
    <w:rsid w:val="5B5B0FE0"/>
    <w:rsid w:val="5B667984"/>
    <w:rsid w:val="5B7D5DE9"/>
    <w:rsid w:val="5B874E06"/>
    <w:rsid w:val="5B8E6917"/>
    <w:rsid w:val="5BB57D8D"/>
    <w:rsid w:val="5BD448EE"/>
    <w:rsid w:val="5BD4669C"/>
    <w:rsid w:val="5C101FC6"/>
    <w:rsid w:val="5C140702"/>
    <w:rsid w:val="5C1B076F"/>
    <w:rsid w:val="5C1E200D"/>
    <w:rsid w:val="5C5305D9"/>
    <w:rsid w:val="5C5872CD"/>
    <w:rsid w:val="5C593045"/>
    <w:rsid w:val="5C5B75F8"/>
    <w:rsid w:val="5C5D2B35"/>
    <w:rsid w:val="5C735109"/>
    <w:rsid w:val="5C7B745F"/>
    <w:rsid w:val="5C855D83"/>
    <w:rsid w:val="5C920DA3"/>
    <w:rsid w:val="5CA307D4"/>
    <w:rsid w:val="5CB70498"/>
    <w:rsid w:val="5CDF354A"/>
    <w:rsid w:val="5CFC40FC"/>
    <w:rsid w:val="5D445AA3"/>
    <w:rsid w:val="5D6B74D4"/>
    <w:rsid w:val="5D83303A"/>
    <w:rsid w:val="5DC32C8D"/>
    <w:rsid w:val="5E061A7C"/>
    <w:rsid w:val="5E2E29DB"/>
    <w:rsid w:val="5E2F29A1"/>
    <w:rsid w:val="5E3B6EA6"/>
    <w:rsid w:val="5E4148A7"/>
    <w:rsid w:val="5E470487"/>
    <w:rsid w:val="5E532442"/>
    <w:rsid w:val="5E6A153A"/>
    <w:rsid w:val="5ED75095"/>
    <w:rsid w:val="5EE44E48"/>
    <w:rsid w:val="5EEA1B36"/>
    <w:rsid w:val="5EF86B45"/>
    <w:rsid w:val="5F255981"/>
    <w:rsid w:val="5F2B6F1B"/>
    <w:rsid w:val="5F3F6522"/>
    <w:rsid w:val="5F645F89"/>
    <w:rsid w:val="5F753C3E"/>
    <w:rsid w:val="5F7D704B"/>
    <w:rsid w:val="5F8403D9"/>
    <w:rsid w:val="5F8F74AA"/>
    <w:rsid w:val="5F9C1BC7"/>
    <w:rsid w:val="5FAC2DA0"/>
    <w:rsid w:val="5FBC7B73"/>
    <w:rsid w:val="5FC609F2"/>
    <w:rsid w:val="5FD205E8"/>
    <w:rsid w:val="5FDF3861"/>
    <w:rsid w:val="5FE13A7D"/>
    <w:rsid w:val="5FF13CC0"/>
    <w:rsid w:val="6000183D"/>
    <w:rsid w:val="60055DA3"/>
    <w:rsid w:val="60687CFB"/>
    <w:rsid w:val="606F5B12"/>
    <w:rsid w:val="60A725D1"/>
    <w:rsid w:val="60AC58CB"/>
    <w:rsid w:val="60D07D7A"/>
    <w:rsid w:val="60E27AAD"/>
    <w:rsid w:val="611063C8"/>
    <w:rsid w:val="6114208C"/>
    <w:rsid w:val="614B7400"/>
    <w:rsid w:val="614D0390"/>
    <w:rsid w:val="6155027F"/>
    <w:rsid w:val="61686204"/>
    <w:rsid w:val="616950D0"/>
    <w:rsid w:val="617213B6"/>
    <w:rsid w:val="61813275"/>
    <w:rsid w:val="618670E8"/>
    <w:rsid w:val="61A34B19"/>
    <w:rsid w:val="61B43E7E"/>
    <w:rsid w:val="61B56F70"/>
    <w:rsid w:val="61D218D0"/>
    <w:rsid w:val="61F873D8"/>
    <w:rsid w:val="61FC06FB"/>
    <w:rsid w:val="62074A10"/>
    <w:rsid w:val="62092E18"/>
    <w:rsid w:val="62105334"/>
    <w:rsid w:val="62201264"/>
    <w:rsid w:val="622F73A6"/>
    <w:rsid w:val="623065F6"/>
    <w:rsid w:val="62326E54"/>
    <w:rsid w:val="623B7475"/>
    <w:rsid w:val="623E1776"/>
    <w:rsid w:val="623F6839"/>
    <w:rsid w:val="6247023F"/>
    <w:rsid w:val="625642AF"/>
    <w:rsid w:val="62593D9F"/>
    <w:rsid w:val="62A56FE4"/>
    <w:rsid w:val="62A828CD"/>
    <w:rsid w:val="62D443A2"/>
    <w:rsid w:val="635602DE"/>
    <w:rsid w:val="635822A8"/>
    <w:rsid w:val="636429FB"/>
    <w:rsid w:val="63796526"/>
    <w:rsid w:val="63B868A3"/>
    <w:rsid w:val="64155AA4"/>
    <w:rsid w:val="642B7590"/>
    <w:rsid w:val="644665A5"/>
    <w:rsid w:val="645111D2"/>
    <w:rsid w:val="645273BE"/>
    <w:rsid w:val="646534C7"/>
    <w:rsid w:val="646539AE"/>
    <w:rsid w:val="64656A2B"/>
    <w:rsid w:val="647F035E"/>
    <w:rsid w:val="648C4EA5"/>
    <w:rsid w:val="64B90B25"/>
    <w:rsid w:val="64C51278"/>
    <w:rsid w:val="64D21BE7"/>
    <w:rsid w:val="64F90B96"/>
    <w:rsid w:val="650F6345"/>
    <w:rsid w:val="65230D92"/>
    <w:rsid w:val="65340DFB"/>
    <w:rsid w:val="653528A1"/>
    <w:rsid w:val="654B1651"/>
    <w:rsid w:val="654C423C"/>
    <w:rsid w:val="65522FC6"/>
    <w:rsid w:val="657131AE"/>
    <w:rsid w:val="657C227E"/>
    <w:rsid w:val="65820695"/>
    <w:rsid w:val="65942F18"/>
    <w:rsid w:val="659A2704"/>
    <w:rsid w:val="659F70A3"/>
    <w:rsid w:val="659F7D1B"/>
    <w:rsid w:val="65B61F12"/>
    <w:rsid w:val="65BC6B1F"/>
    <w:rsid w:val="65C47781"/>
    <w:rsid w:val="65CB2057"/>
    <w:rsid w:val="65EB2F60"/>
    <w:rsid w:val="65FE0EE5"/>
    <w:rsid w:val="662F1913"/>
    <w:rsid w:val="663331F8"/>
    <w:rsid w:val="664166AE"/>
    <w:rsid w:val="66430FEE"/>
    <w:rsid w:val="665023CB"/>
    <w:rsid w:val="66544D82"/>
    <w:rsid w:val="66636F9A"/>
    <w:rsid w:val="6678134D"/>
    <w:rsid w:val="667A42E4"/>
    <w:rsid w:val="669D3C0F"/>
    <w:rsid w:val="66A251DE"/>
    <w:rsid w:val="66AC6B93"/>
    <w:rsid w:val="66DC18E2"/>
    <w:rsid w:val="675C79A5"/>
    <w:rsid w:val="67876CB8"/>
    <w:rsid w:val="67EC539B"/>
    <w:rsid w:val="67F7142A"/>
    <w:rsid w:val="67FB3202"/>
    <w:rsid w:val="6801535B"/>
    <w:rsid w:val="68232E85"/>
    <w:rsid w:val="68306EC7"/>
    <w:rsid w:val="684150B9"/>
    <w:rsid w:val="68442DFB"/>
    <w:rsid w:val="6861124B"/>
    <w:rsid w:val="68617509"/>
    <w:rsid w:val="68721717"/>
    <w:rsid w:val="687234C5"/>
    <w:rsid w:val="68A044D6"/>
    <w:rsid w:val="68D06D49"/>
    <w:rsid w:val="68D50FDC"/>
    <w:rsid w:val="68D51CA5"/>
    <w:rsid w:val="68E94EA8"/>
    <w:rsid w:val="68EA5751"/>
    <w:rsid w:val="68F24605"/>
    <w:rsid w:val="68F71C1C"/>
    <w:rsid w:val="69006D22"/>
    <w:rsid w:val="6919455A"/>
    <w:rsid w:val="69216C99"/>
    <w:rsid w:val="6931512E"/>
    <w:rsid w:val="698704B9"/>
    <w:rsid w:val="69967356"/>
    <w:rsid w:val="69981531"/>
    <w:rsid w:val="699F478D"/>
    <w:rsid w:val="69AB3821"/>
    <w:rsid w:val="69DA57C5"/>
    <w:rsid w:val="6A01195A"/>
    <w:rsid w:val="6A0171F6"/>
    <w:rsid w:val="6A077302"/>
    <w:rsid w:val="6A1D4F98"/>
    <w:rsid w:val="6A64787C"/>
    <w:rsid w:val="6A794FDE"/>
    <w:rsid w:val="6A890F99"/>
    <w:rsid w:val="6A8F61F9"/>
    <w:rsid w:val="6A941E18"/>
    <w:rsid w:val="6A9A6C63"/>
    <w:rsid w:val="6AA81420"/>
    <w:rsid w:val="6AC53F6D"/>
    <w:rsid w:val="6AD2649C"/>
    <w:rsid w:val="6ADC6C73"/>
    <w:rsid w:val="6B054AC4"/>
    <w:rsid w:val="6B2036AC"/>
    <w:rsid w:val="6B231FF7"/>
    <w:rsid w:val="6B2B3DFF"/>
    <w:rsid w:val="6B423D42"/>
    <w:rsid w:val="6B7632CC"/>
    <w:rsid w:val="6B841E8D"/>
    <w:rsid w:val="6B846F2B"/>
    <w:rsid w:val="6B8710BC"/>
    <w:rsid w:val="6BA1602F"/>
    <w:rsid w:val="6BA77929"/>
    <w:rsid w:val="6BC04E8F"/>
    <w:rsid w:val="6BCE4EB6"/>
    <w:rsid w:val="6BCF6E80"/>
    <w:rsid w:val="6BE97F42"/>
    <w:rsid w:val="6BEC45A2"/>
    <w:rsid w:val="6BEF307E"/>
    <w:rsid w:val="6BF30DC0"/>
    <w:rsid w:val="6C007039"/>
    <w:rsid w:val="6C1B3E73"/>
    <w:rsid w:val="6C1E2A54"/>
    <w:rsid w:val="6C3118E9"/>
    <w:rsid w:val="6C532EC3"/>
    <w:rsid w:val="6C5C23DC"/>
    <w:rsid w:val="6C64581A"/>
    <w:rsid w:val="6C933558"/>
    <w:rsid w:val="6C9C1458"/>
    <w:rsid w:val="6CC4275D"/>
    <w:rsid w:val="6CF46B9E"/>
    <w:rsid w:val="6D002F3C"/>
    <w:rsid w:val="6D2531FB"/>
    <w:rsid w:val="6D282CEC"/>
    <w:rsid w:val="6D355976"/>
    <w:rsid w:val="6D604233"/>
    <w:rsid w:val="6D631F76"/>
    <w:rsid w:val="6D6A40BE"/>
    <w:rsid w:val="6D6D6025"/>
    <w:rsid w:val="6D82064E"/>
    <w:rsid w:val="6D8A12B0"/>
    <w:rsid w:val="6DA2484C"/>
    <w:rsid w:val="6DB86AA0"/>
    <w:rsid w:val="6DD15131"/>
    <w:rsid w:val="6DD644F6"/>
    <w:rsid w:val="6DDF784E"/>
    <w:rsid w:val="6E2C22B2"/>
    <w:rsid w:val="6E331948"/>
    <w:rsid w:val="6E373490"/>
    <w:rsid w:val="6E407957"/>
    <w:rsid w:val="6E453429"/>
    <w:rsid w:val="6E7345A1"/>
    <w:rsid w:val="6E740A85"/>
    <w:rsid w:val="6EAC061C"/>
    <w:rsid w:val="6EB13EC8"/>
    <w:rsid w:val="6EB23BCF"/>
    <w:rsid w:val="6EB8009F"/>
    <w:rsid w:val="6EB825CC"/>
    <w:rsid w:val="6ED24CBD"/>
    <w:rsid w:val="6ED924EF"/>
    <w:rsid w:val="6F06705D"/>
    <w:rsid w:val="6F0A44BC"/>
    <w:rsid w:val="6F211279"/>
    <w:rsid w:val="6F573414"/>
    <w:rsid w:val="6F7E3097"/>
    <w:rsid w:val="6F822D6C"/>
    <w:rsid w:val="6F99373A"/>
    <w:rsid w:val="6FA26D85"/>
    <w:rsid w:val="6FAA0A86"/>
    <w:rsid w:val="6FD11419"/>
    <w:rsid w:val="6FD76303"/>
    <w:rsid w:val="700C3276"/>
    <w:rsid w:val="70221C74"/>
    <w:rsid w:val="703A3E53"/>
    <w:rsid w:val="703D085C"/>
    <w:rsid w:val="704E2A69"/>
    <w:rsid w:val="70542567"/>
    <w:rsid w:val="70710506"/>
    <w:rsid w:val="707278BB"/>
    <w:rsid w:val="707324D0"/>
    <w:rsid w:val="70C1323B"/>
    <w:rsid w:val="70E37655"/>
    <w:rsid w:val="70FA499F"/>
    <w:rsid w:val="70FC1A61"/>
    <w:rsid w:val="710D46D2"/>
    <w:rsid w:val="714F4CEB"/>
    <w:rsid w:val="715D3148"/>
    <w:rsid w:val="718F502D"/>
    <w:rsid w:val="7193463C"/>
    <w:rsid w:val="71A768D5"/>
    <w:rsid w:val="71C11019"/>
    <w:rsid w:val="71C12DE7"/>
    <w:rsid w:val="71C34D91"/>
    <w:rsid w:val="71D62D16"/>
    <w:rsid w:val="71E573FD"/>
    <w:rsid w:val="720F1A1F"/>
    <w:rsid w:val="72145678"/>
    <w:rsid w:val="72253C9E"/>
    <w:rsid w:val="7231619E"/>
    <w:rsid w:val="72507E40"/>
    <w:rsid w:val="7258197D"/>
    <w:rsid w:val="727662A7"/>
    <w:rsid w:val="728F1117"/>
    <w:rsid w:val="72A05D82"/>
    <w:rsid w:val="72AE5A41"/>
    <w:rsid w:val="72CE4542"/>
    <w:rsid w:val="72DA4A88"/>
    <w:rsid w:val="72DD4071"/>
    <w:rsid w:val="72E96A79"/>
    <w:rsid w:val="72F84F0E"/>
    <w:rsid w:val="73155AC0"/>
    <w:rsid w:val="73243F55"/>
    <w:rsid w:val="73410663"/>
    <w:rsid w:val="73520AC2"/>
    <w:rsid w:val="73612AB3"/>
    <w:rsid w:val="7395275D"/>
    <w:rsid w:val="73AC64BF"/>
    <w:rsid w:val="73CA7AAB"/>
    <w:rsid w:val="73D6524F"/>
    <w:rsid w:val="73E9412A"/>
    <w:rsid w:val="741F7F80"/>
    <w:rsid w:val="743326A2"/>
    <w:rsid w:val="74556D96"/>
    <w:rsid w:val="746A7CA4"/>
    <w:rsid w:val="7487479C"/>
    <w:rsid w:val="7499627D"/>
    <w:rsid w:val="74A810B1"/>
    <w:rsid w:val="74B11817"/>
    <w:rsid w:val="74B520A4"/>
    <w:rsid w:val="74BA5BB7"/>
    <w:rsid w:val="74CB0B2C"/>
    <w:rsid w:val="74DD05D7"/>
    <w:rsid w:val="74FA6C5B"/>
    <w:rsid w:val="75065344"/>
    <w:rsid w:val="75181898"/>
    <w:rsid w:val="75187ED5"/>
    <w:rsid w:val="751A7979"/>
    <w:rsid w:val="75226272"/>
    <w:rsid w:val="75261019"/>
    <w:rsid w:val="755D54FC"/>
    <w:rsid w:val="757D0F1B"/>
    <w:rsid w:val="759058D2"/>
    <w:rsid w:val="759B6440"/>
    <w:rsid w:val="75A849CA"/>
    <w:rsid w:val="75AE7D7D"/>
    <w:rsid w:val="75C37A55"/>
    <w:rsid w:val="75C5557C"/>
    <w:rsid w:val="75CD61DE"/>
    <w:rsid w:val="75DE03EB"/>
    <w:rsid w:val="75F86E00"/>
    <w:rsid w:val="76116A13"/>
    <w:rsid w:val="761A1135"/>
    <w:rsid w:val="763D7E35"/>
    <w:rsid w:val="76522B87"/>
    <w:rsid w:val="766F54E7"/>
    <w:rsid w:val="76870A83"/>
    <w:rsid w:val="768E1E11"/>
    <w:rsid w:val="76A72ED3"/>
    <w:rsid w:val="76CC08FB"/>
    <w:rsid w:val="76CD55E2"/>
    <w:rsid w:val="76E539FB"/>
    <w:rsid w:val="76F459ED"/>
    <w:rsid w:val="770420D4"/>
    <w:rsid w:val="77080613"/>
    <w:rsid w:val="77125072"/>
    <w:rsid w:val="77176C25"/>
    <w:rsid w:val="7718792D"/>
    <w:rsid w:val="772340B3"/>
    <w:rsid w:val="772F5047"/>
    <w:rsid w:val="7746008E"/>
    <w:rsid w:val="77512E3F"/>
    <w:rsid w:val="775600AD"/>
    <w:rsid w:val="777032C5"/>
    <w:rsid w:val="777E528B"/>
    <w:rsid w:val="77C43611"/>
    <w:rsid w:val="77DD0636"/>
    <w:rsid w:val="77EE068E"/>
    <w:rsid w:val="77F263D0"/>
    <w:rsid w:val="77FA34D6"/>
    <w:rsid w:val="78075F99"/>
    <w:rsid w:val="780A196C"/>
    <w:rsid w:val="780E2ADE"/>
    <w:rsid w:val="78123D39"/>
    <w:rsid w:val="784A1D68"/>
    <w:rsid w:val="786848E4"/>
    <w:rsid w:val="786B1CDE"/>
    <w:rsid w:val="786E67AC"/>
    <w:rsid w:val="78700B0A"/>
    <w:rsid w:val="78762B5D"/>
    <w:rsid w:val="78772435"/>
    <w:rsid w:val="78970D25"/>
    <w:rsid w:val="789E18A0"/>
    <w:rsid w:val="78B57D49"/>
    <w:rsid w:val="78B611AB"/>
    <w:rsid w:val="78E47508"/>
    <w:rsid w:val="78EA52F9"/>
    <w:rsid w:val="78FD327E"/>
    <w:rsid w:val="79021C2A"/>
    <w:rsid w:val="792C34CF"/>
    <w:rsid w:val="79703A50"/>
    <w:rsid w:val="797C4A04"/>
    <w:rsid w:val="79813945"/>
    <w:rsid w:val="79CE0777"/>
    <w:rsid w:val="79D061A4"/>
    <w:rsid w:val="79ED32F3"/>
    <w:rsid w:val="79EE0700"/>
    <w:rsid w:val="7A06775E"/>
    <w:rsid w:val="7A7C01D3"/>
    <w:rsid w:val="7A810C91"/>
    <w:rsid w:val="7A9674E6"/>
    <w:rsid w:val="7AA634A2"/>
    <w:rsid w:val="7AB10ECB"/>
    <w:rsid w:val="7AB61937"/>
    <w:rsid w:val="7AD24297"/>
    <w:rsid w:val="7B42766E"/>
    <w:rsid w:val="7B65510B"/>
    <w:rsid w:val="7B707D38"/>
    <w:rsid w:val="7B7A0FC8"/>
    <w:rsid w:val="7B864625"/>
    <w:rsid w:val="7BB816DF"/>
    <w:rsid w:val="7BC311C4"/>
    <w:rsid w:val="7BC31D0C"/>
    <w:rsid w:val="7BD76009"/>
    <w:rsid w:val="7BDF6C6B"/>
    <w:rsid w:val="7BE81FC4"/>
    <w:rsid w:val="7C0B7D3A"/>
    <w:rsid w:val="7C136915"/>
    <w:rsid w:val="7C1D7794"/>
    <w:rsid w:val="7C510CD6"/>
    <w:rsid w:val="7C552D6A"/>
    <w:rsid w:val="7CC3658D"/>
    <w:rsid w:val="7CC7607D"/>
    <w:rsid w:val="7D016812"/>
    <w:rsid w:val="7D0F532E"/>
    <w:rsid w:val="7D23702C"/>
    <w:rsid w:val="7D32101D"/>
    <w:rsid w:val="7D5176F5"/>
    <w:rsid w:val="7D6A3FD0"/>
    <w:rsid w:val="7D7938EB"/>
    <w:rsid w:val="7D7F0706"/>
    <w:rsid w:val="7D817526"/>
    <w:rsid w:val="7D8201F6"/>
    <w:rsid w:val="7D985324"/>
    <w:rsid w:val="7DA91880"/>
    <w:rsid w:val="7DD65E4C"/>
    <w:rsid w:val="7DE44A0D"/>
    <w:rsid w:val="7E02134B"/>
    <w:rsid w:val="7E176B90"/>
    <w:rsid w:val="7E1D20AD"/>
    <w:rsid w:val="7E3059FB"/>
    <w:rsid w:val="7E325778"/>
    <w:rsid w:val="7E327526"/>
    <w:rsid w:val="7E3F60E7"/>
    <w:rsid w:val="7E7A0ECD"/>
    <w:rsid w:val="7E8A5D41"/>
    <w:rsid w:val="7E8B30DA"/>
    <w:rsid w:val="7E8E23EC"/>
    <w:rsid w:val="7EA0257D"/>
    <w:rsid w:val="7EB50157"/>
    <w:rsid w:val="7ECB34D7"/>
    <w:rsid w:val="7F1135E0"/>
    <w:rsid w:val="7F39685D"/>
    <w:rsid w:val="7F4812A7"/>
    <w:rsid w:val="7FAC0256"/>
    <w:rsid w:val="7FB04A31"/>
    <w:rsid w:val="7FB71F64"/>
    <w:rsid w:val="7FC835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41"/>
    <w:autoRedefine/>
    <w:qFormat/>
    <w:uiPriority w:val="0"/>
    <w:pPr>
      <w:widowControl/>
      <w:numPr>
        <w:ilvl w:val="0"/>
        <w:numId w:val="1"/>
      </w:numPr>
      <w:spacing w:beforeAutospacing="1" w:afterAutospacing="1" w:line="560" w:lineRule="exact"/>
      <w:jc w:val="center"/>
      <w:outlineLvl w:val="0"/>
    </w:pPr>
    <w:rPr>
      <w:rFonts w:ascii="方正小标宋_GBK" w:hAnsi="方正小标宋_GBK" w:eastAsia="仿宋" w:cs="方正小标宋_GBK"/>
      <w:kern w:val="36"/>
      <w:sz w:val="36"/>
      <w:szCs w:val="32"/>
    </w:rPr>
  </w:style>
  <w:style w:type="paragraph" w:styleId="2">
    <w:name w:val="heading 2"/>
    <w:basedOn w:val="1"/>
    <w:next w:val="1"/>
    <w:link w:val="40"/>
    <w:autoRedefine/>
    <w:unhideWhenUsed/>
    <w:qFormat/>
    <w:uiPriority w:val="0"/>
    <w:pPr>
      <w:keepNext/>
      <w:keepLines/>
      <w:numPr>
        <w:ilvl w:val="1"/>
        <w:numId w:val="1"/>
      </w:numPr>
      <w:spacing w:line="560" w:lineRule="exact"/>
      <w:jc w:val="left"/>
      <w:outlineLvl w:val="1"/>
    </w:pPr>
    <w:rPr>
      <w:rFonts w:eastAsia="方正小标宋_GBK" w:asciiTheme="majorHAnsi" w:hAnsiTheme="majorHAnsi" w:cstheme="majorBidi"/>
      <w:bCs/>
      <w:sz w:val="32"/>
      <w:szCs w:val="32"/>
    </w:rPr>
  </w:style>
  <w:style w:type="paragraph" w:styleId="4">
    <w:name w:val="heading 3"/>
    <w:basedOn w:val="1"/>
    <w:next w:val="1"/>
    <w:link w:val="42"/>
    <w:autoRedefine/>
    <w:unhideWhenUsed/>
    <w:qFormat/>
    <w:uiPriority w:val="0"/>
    <w:pPr>
      <w:keepNext/>
      <w:keepLines/>
      <w:numPr>
        <w:ilvl w:val="2"/>
        <w:numId w:val="1"/>
      </w:numPr>
      <w:spacing w:line="560" w:lineRule="exact"/>
      <w:ind w:left="680" w:firstLine="0"/>
      <w:jc w:val="left"/>
      <w:outlineLvl w:val="2"/>
    </w:pPr>
    <w:rPr>
      <w:rFonts w:ascii="方正小标宋_GBK" w:hAnsi="方正小标宋_GBK" w:eastAsia="方正小标宋_GBK" w:cs="方正小标宋_GBK"/>
      <w:sz w:val="32"/>
      <w:szCs w:val="32"/>
    </w:rPr>
  </w:style>
  <w:style w:type="paragraph" w:styleId="5">
    <w:name w:val="heading 4"/>
    <w:basedOn w:val="1"/>
    <w:next w:val="1"/>
    <w:link w:val="43"/>
    <w:autoRedefine/>
    <w:unhideWhenUsed/>
    <w:qFormat/>
    <w:uiPriority w:val="0"/>
    <w:pPr>
      <w:keepNext/>
      <w:keepLines/>
      <w:numPr>
        <w:ilvl w:val="3"/>
        <w:numId w:val="1"/>
      </w:numPr>
      <w:spacing w:before="280" w:after="290" w:line="560" w:lineRule="exact"/>
      <w:jc w:val="left"/>
      <w:outlineLvl w:val="3"/>
    </w:pPr>
    <w:rPr>
      <w:rFonts w:ascii="方正小标宋_GBK" w:hAnsi="方正小标宋_GBK" w:eastAsia="方正小标宋_GBK" w:cs="方正仿宋_GBK"/>
      <w:sz w:val="32"/>
      <w:szCs w:val="28"/>
    </w:rPr>
  </w:style>
  <w:style w:type="paragraph" w:styleId="6">
    <w:name w:val="heading 5"/>
    <w:basedOn w:val="1"/>
    <w:next w:val="1"/>
    <w:autoRedefine/>
    <w:unhideWhenUsed/>
    <w:qFormat/>
    <w:uiPriority w:val="0"/>
    <w:pPr>
      <w:keepNext/>
      <w:keepLines/>
      <w:numPr>
        <w:ilvl w:val="4"/>
        <w:numId w:val="1"/>
      </w:numPr>
      <w:spacing w:line="372" w:lineRule="auto"/>
      <w:outlineLvl w:val="4"/>
    </w:pPr>
    <w:rPr>
      <w:b/>
    </w:rPr>
  </w:style>
  <w:style w:type="paragraph" w:styleId="7">
    <w:name w:val="heading 6"/>
    <w:basedOn w:val="1"/>
    <w:next w:val="1"/>
    <w:autoRedefine/>
    <w:unhideWhenUsed/>
    <w:qFormat/>
    <w:uiPriority w:val="0"/>
    <w:pPr>
      <w:keepNext/>
      <w:keepLines/>
      <w:numPr>
        <w:ilvl w:val="5"/>
        <w:numId w:val="1"/>
      </w:numPr>
      <w:spacing w:line="317" w:lineRule="auto"/>
      <w:outlineLvl w:val="5"/>
    </w:pPr>
    <w:rPr>
      <w:rFonts w:ascii="Arial" w:hAnsi="Arial" w:eastAsia="黑体"/>
      <w:b/>
      <w:sz w:val="24"/>
    </w:rPr>
  </w:style>
  <w:style w:type="paragraph" w:styleId="8">
    <w:name w:val="heading 7"/>
    <w:basedOn w:val="1"/>
    <w:next w:val="1"/>
    <w:autoRedefine/>
    <w:unhideWhenUsed/>
    <w:qFormat/>
    <w:uiPriority w:val="0"/>
    <w:pPr>
      <w:keepNext/>
      <w:keepLines/>
      <w:numPr>
        <w:ilvl w:val="6"/>
        <w:numId w:val="1"/>
      </w:numPr>
      <w:spacing w:line="317" w:lineRule="auto"/>
      <w:outlineLvl w:val="6"/>
    </w:pPr>
    <w:rPr>
      <w:b/>
      <w:sz w:val="24"/>
    </w:rPr>
  </w:style>
  <w:style w:type="paragraph" w:styleId="9">
    <w:name w:val="heading 8"/>
    <w:basedOn w:val="1"/>
    <w:next w:val="1"/>
    <w:autoRedefine/>
    <w:unhideWhenUsed/>
    <w:qFormat/>
    <w:uiPriority w:val="0"/>
    <w:pPr>
      <w:keepNext/>
      <w:keepLines/>
      <w:numPr>
        <w:ilvl w:val="7"/>
        <w:numId w:val="1"/>
      </w:numPr>
      <w:spacing w:line="317" w:lineRule="auto"/>
      <w:outlineLvl w:val="7"/>
    </w:pPr>
    <w:rPr>
      <w:rFonts w:ascii="Arial" w:hAnsi="Arial" w:eastAsia="黑体"/>
      <w:sz w:val="24"/>
    </w:rPr>
  </w:style>
  <w:style w:type="paragraph" w:styleId="10">
    <w:name w:val="heading 9"/>
    <w:basedOn w:val="1"/>
    <w:next w:val="1"/>
    <w:autoRedefine/>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11">
    <w:name w:val="annotation text"/>
    <w:basedOn w:val="1"/>
    <w:autoRedefine/>
    <w:qFormat/>
    <w:uiPriority w:val="0"/>
    <w:pPr>
      <w:adjustRightInd w:val="0"/>
      <w:spacing w:line="360" w:lineRule="atLeast"/>
      <w:jc w:val="left"/>
      <w:textAlignment w:val="baseline"/>
    </w:pPr>
    <w:rPr>
      <w:kern w:val="0"/>
      <w:sz w:val="24"/>
    </w:rPr>
  </w:style>
  <w:style w:type="paragraph" w:styleId="12">
    <w:name w:val="Body Text"/>
    <w:basedOn w:val="1"/>
    <w:next w:val="1"/>
    <w:autoRedefine/>
    <w:qFormat/>
    <w:uiPriority w:val="0"/>
    <w:rPr>
      <w:rFonts w:ascii="仿宋_GB2312" w:eastAsia="仿宋_GB2312"/>
      <w:sz w:val="32"/>
    </w:rPr>
  </w:style>
  <w:style w:type="paragraph" w:styleId="13">
    <w:name w:val="Body Text Indent"/>
    <w:basedOn w:val="1"/>
    <w:next w:val="14"/>
    <w:autoRedefine/>
    <w:qFormat/>
    <w:uiPriority w:val="0"/>
    <w:pPr>
      <w:spacing w:line="700" w:lineRule="exact"/>
      <w:ind w:left="960"/>
    </w:pPr>
    <w:rPr>
      <w:sz w:val="44"/>
    </w:rPr>
  </w:style>
  <w:style w:type="paragraph" w:styleId="14">
    <w:name w:val="envelope return"/>
    <w:basedOn w:val="1"/>
    <w:autoRedefine/>
    <w:qFormat/>
    <w:uiPriority w:val="0"/>
    <w:pPr>
      <w:snapToGrid w:val="0"/>
    </w:pPr>
    <w:rPr>
      <w:rFonts w:ascii="Arial" w:hAnsi="Arial" w:eastAsia="微软雅黑" w:cs="Times New Roman"/>
    </w:rPr>
  </w:style>
  <w:style w:type="paragraph" w:styleId="15">
    <w:name w:val="toc 3"/>
    <w:basedOn w:val="1"/>
    <w:next w:val="1"/>
    <w:autoRedefine/>
    <w:qFormat/>
    <w:uiPriority w:val="0"/>
    <w:pPr>
      <w:ind w:left="840" w:leftChars="400"/>
    </w:pPr>
  </w:style>
  <w:style w:type="paragraph" w:styleId="16">
    <w:name w:val="Plain Text"/>
    <w:basedOn w:val="1"/>
    <w:autoRedefine/>
    <w:qFormat/>
    <w:uiPriority w:val="0"/>
    <w:rPr>
      <w:rFonts w:ascii="宋体" w:hAnsi="Courier New"/>
      <w:sz w:val="21"/>
    </w:rPr>
  </w:style>
  <w:style w:type="paragraph" w:styleId="17">
    <w:name w:val="Date"/>
    <w:basedOn w:val="1"/>
    <w:next w:val="1"/>
    <w:autoRedefine/>
    <w:qFormat/>
    <w:uiPriority w:val="0"/>
  </w:style>
  <w:style w:type="paragraph" w:styleId="18">
    <w:name w:val="Body Text Indent 2"/>
    <w:basedOn w:val="1"/>
    <w:autoRedefine/>
    <w:qFormat/>
    <w:uiPriority w:val="0"/>
    <w:pPr>
      <w:snapToGrid w:val="0"/>
      <w:spacing w:line="560" w:lineRule="atLeast"/>
      <w:ind w:firstLine="540"/>
    </w:pPr>
  </w:style>
  <w:style w:type="paragraph" w:styleId="19">
    <w:name w:val="Balloon Text"/>
    <w:basedOn w:val="1"/>
    <w:link w:val="51"/>
    <w:autoRedefine/>
    <w:qFormat/>
    <w:uiPriority w:val="0"/>
    <w:rPr>
      <w:sz w:val="18"/>
      <w:szCs w:val="18"/>
    </w:rPr>
  </w:style>
  <w:style w:type="paragraph" w:styleId="20">
    <w:name w:val="footer"/>
    <w:basedOn w:val="1"/>
    <w:autoRedefine/>
    <w:qFormat/>
    <w:uiPriority w:val="0"/>
    <w:pPr>
      <w:tabs>
        <w:tab w:val="center" w:pos="4153"/>
        <w:tab w:val="right" w:pos="8306"/>
      </w:tabs>
      <w:snapToGrid w:val="0"/>
      <w:jc w:val="left"/>
    </w:pPr>
    <w:rPr>
      <w:sz w:val="18"/>
    </w:rPr>
  </w:style>
  <w:style w:type="paragraph" w:styleId="21">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autoRedefine/>
    <w:qFormat/>
    <w:uiPriority w:val="0"/>
    <w:pPr>
      <w:spacing w:line="180" w:lineRule="auto"/>
      <w:jc w:val="center"/>
    </w:pPr>
    <w:rPr>
      <w:sz w:val="30"/>
    </w:rPr>
  </w:style>
  <w:style w:type="paragraph" w:styleId="23">
    <w:name w:val="toc 2"/>
    <w:basedOn w:val="1"/>
    <w:next w:val="1"/>
    <w:autoRedefine/>
    <w:qFormat/>
    <w:uiPriority w:val="39"/>
    <w:pPr>
      <w:ind w:left="420" w:leftChars="200"/>
    </w:pPr>
  </w:style>
  <w:style w:type="paragraph" w:styleId="2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5">
    <w:name w:val="Normal (Web)"/>
    <w:basedOn w:val="1"/>
    <w:autoRedefine/>
    <w:qFormat/>
    <w:uiPriority w:val="0"/>
    <w:pPr>
      <w:spacing w:beforeAutospacing="1" w:afterAutospacing="1"/>
      <w:jc w:val="left"/>
    </w:pPr>
    <w:rPr>
      <w:kern w:val="0"/>
      <w:sz w:val="24"/>
    </w:rPr>
  </w:style>
  <w:style w:type="paragraph" w:styleId="26">
    <w:name w:val="Body Text First Indent"/>
    <w:basedOn w:val="12"/>
    <w:next w:val="27"/>
    <w:autoRedefine/>
    <w:qFormat/>
    <w:uiPriority w:val="0"/>
    <w:pPr>
      <w:spacing w:line="360" w:lineRule="auto"/>
      <w:ind w:firstLine="420"/>
    </w:pPr>
    <w:rPr>
      <w:rFonts w:ascii="宋体" w:hAnsi="宋体"/>
      <w:sz w:val="24"/>
    </w:rPr>
  </w:style>
  <w:style w:type="paragraph" w:styleId="27">
    <w:name w:val="Body Text First Indent 2"/>
    <w:basedOn w:val="13"/>
    <w:next w:val="1"/>
    <w:autoRedefine/>
    <w:qFormat/>
    <w:uiPriority w:val="0"/>
    <w:pPr>
      <w:spacing w:after="120" w:line="240" w:lineRule="auto"/>
      <w:ind w:left="420" w:leftChars="200" w:firstLine="420" w:firstLineChars="200"/>
    </w:pPr>
  </w:style>
  <w:style w:type="table" w:styleId="29">
    <w:name w:val="Table Grid"/>
    <w:basedOn w:val="28"/>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page number"/>
    <w:autoRedefine/>
    <w:qFormat/>
    <w:uiPriority w:val="0"/>
  </w:style>
  <w:style w:type="character" w:styleId="32">
    <w:name w:val="annotation reference"/>
    <w:basedOn w:val="30"/>
    <w:autoRedefine/>
    <w:qFormat/>
    <w:uiPriority w:val="0"/>
    <w:rPr>
      <w:sz w:val="21"/>
      <w:szCs w:val="21"/>
    </w:rPr>
  </w:style>
  <w:style w:type="paragraph" w:customStyle="1" w:styleId="33">
    <w:name w:val="Default"/>
    <w:next w:val="34"/>
    <w:autoRedefine/>
    <w:qFormat/>
    <w:uiPriority w:val="0"/>
    <w:pPr>
      <w:widowControl w:val="0"/>
      <w:autoSpaceDE w:val="0"/>
      <w:autoSpaceDN w:val="0"/>
      <w:adjustRightInd w:val="0"/>
    </w:pPr>
    <w:rPr>
      <w:rFonts w:ascii="宋体" w:hAnsi="Calibri" w:eastAsia="微软雅黑" w:cs="Times New Roman"/>
      <w:color w:val="000000"/>
      <w:sz w:val="24"/>
      <w:lang w:val="en-US" w:eastAsia="zh-CN" w:bidi="ar-SA"/>
    </w:rPr>
  </w:style>
  <w:style w:type="paragraph" w:customStyle="1" w:styleId="34">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5">
    <w:name w:val="目录 11"/>
    <w:basedOn w:val="1"/>
    <w:next w:val="1"/>
    <w:autoRedefine/>
    <w:qFormat/>
    <w:uiPriority w:val="0"/>
    <w:pPr>
      <w:spacing w:line="180" w:lineRule="auto"/>
      <w:jc w:val="center"/>
    </w:pPr>
    <w:rPr>
      <w:sz w:val="30"/>
    </w:rPr>
  </w:style>
  <w:style w:type="paragraph" w:customStyle="1" w:styleId="36">
    <w:name w:val="标题 31"/>
    <w:basedOn w:val="1"/>
    <w:next w:val="1"/>
    <w:autoRedefine/>
    <w:qFormat/>
    <w:uiPriority w:val="0"/>
    <w:pPr>
      <w:keepNext/>
      <w:keepLines/>
      <w:spacing w:before="260" w:after="260" w:line="413" w:lineRule="auto"/>
      <w:outlineLvl w:val="2"/>
    </w:pPr>
    <w:rPr>
      <w:b/>
      <w:sz w:val="32"/>
    </w:rPr>
  </w:style>
  <w:style w:type="paragraph" w:styleId="37">
    <w:name w:val="Quote"/>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8">
    <w:name w:val="Char Char Char Char1"/>
    <w:basedOn w:val="1"/>
    <w:next w:val="1"/>
    <w:autoRedefine/>
    <w:qFormat/>
    <w:uiPriority w:val="0"/>
    <w:pPr>
      <w:tabs>
        <w:tab w:val="left" w:pos="0"/>
      </w:tabs>
      <w:spacing w:after="160" w:line="240" w:lineRule="exact"/>
      <w:textAlignment w:val="baseline"/>
    </w:pPr>
    <w:rPr>
      <w:rFonts w:ascii="Arial" w:hAnsi="Arial" w:eastAsia="Times New Roman" w:cs="Verdana"/>
      <w:b/>
      <w:lang w:eastAsia="en-US"/>
    </w:rPr>
  </w:style>
  <w:style w:type="paragraph" w:customStyle="1" w:styleId="39">
    <w:name w:val="无间隔1"/>
    <w:autoRedefine/>
    <w:qFormat/>
    <w:uiPriority w:val="1"/>
    <w:pPr>
      <w:jc w:val="both"/>
    </w:pPr>
    <w:rPr>
      <w:rFonts w:ascii="Calibri" w:hAnsi="Calibri" w:eastAsia="Times New Roman" w:cs="Times New Roman"/>
      <w:lang w:val="en-US" w:eastAsia="zh-CN" w:bidi="ar-SA"/>
    </w:rPr>
  </w:style>
  <w:style w:type="character" w:customStyle="1" w:styleId="40">
    <w:name w:val="标题 2 Char"/>
    <w:link w:val="2"/>
    <w:autoRedefine/>
    <w:qFormat/>
    <w:locked/>
    <w:uiPriority w:val="0"/>
    <w:rPr>
      <w:rFonts w:eastAsia="方正小标宋_GBK" w:asciiTheme="majorHAnsi" w:hAnsiTheme="majorHAnsi" w:cstheme="majorBidi"/>
      <w:bCs/>
      <w:kern w:val="2"/>
      <w:sz w:val="32"/>
      <w:szCs w:val="32"/>
    </w:rPr>
  </w:style>
  <w:style w:type="character" w:customStyle="1" w:styleId="41">
    <w:name w:val="标题 1 Char"/>
    <w:basedOn w:val="30"/>
    <w:link w:val="3"/>
    <w:autoRedefine/>
    <w:qFormat/>
    <w:uiPriority w:val="0"/>
    <w:rPr>
      <w:rFonts w:ascii="方正小标宋_GBK" w:hAnsi="方正小标宋_GBK" w:eastAsia="仿宋" w:cs="方正小标宋_GBK"/>
      <w:kern w:val="36"/>
      <w:sz w:val="36"/>
      <w:szCs w:val="32"/>
    </w:rPr>
  </w:style>
  <w:style w:type="character" w:customStyle="1" w:styleId="42">
    <w:name w:val="标题 3 Char"/>
    <w:link w:val="4"/>
    <w:autoRedefine/>
    <w:qFormat/>
    <w:locked/>
    <w:uiPriority w:val="0"/>
    <w:rPr>
      <w:rFonts w:ascii="方正小标宋_GBK" w:hAnsi="方正小标宋_GBK" w:eastAsia="方正小标宋_GBK" w:cs="方正小标宋_GBK"/>
      <w:kern w:val="2"/>
      <w:sz w:val="32"/>
      <w:szCs w:val="32"/>
    </w:rPr>
  </w:style>
  <w:style w:type="character" w:customStyle="1" w:styleId="43">
    <w:name w:val="标题 4 Char"/>
    <w:link w:val="5"/>
    <w:autoRedefine/>
    <w:qFormat/>
    <w:locked/>
    <w:uiPriority w:val="0"/>
    <w:rPr>
      <w:rFonts w:ascii="方正小标宋_GBK" w:hAnsi="方正小标宋_GBK" w:eastAsia="方正小标宋_GBK" w:cs="方正仿宋_GBK"/>
      <w:kern w:val="2"/>
      <w:sz w:val="32"/>
      <w:szCs w:val="28"/>
    </w:rPr>
  </w:style>
  <w:style w:type="paragraph" w:customStyle="1" w:styleId="44">
    <w:name w:val="图例"/>
    <w:basedOn w:val="1"/>
    <w:autoRedefine/>
    <w:qFormat/>
    <w:uiPriority w:val="0"/>
    <w:pPr>
      <w:spacing w:line="360" w:lineRule="auto"/>
      <w:jc w:val="center"/>
    </w:pPr>
    <w:rPr>
      <w:rFonts w:eastAsia="仿宋_GB2312"/>
      <w:b/>
      <w:sz w:val="24"/>
    </w:rPr>
  </w:style>
  <w:style w:type="paragraph" w:customStyle="1" w:styleId="45">
    <w:name w:val="1"/>
    <w:basedOn w:val="1"/>
    <w:next w:val="16"/>
    <w:autoRedefine/>
    <w:qFormat/>
    <w:uiPriority w:val="0"/>
    <w:rPr>
      <w:rFonts w:ascii="宋体" w:hAnsi="Courier New"/>
      <w:sz w:val="21"/>
    </w:rPr>
  </w:style>
  <w:style w:type="paragraph" w:customStyle="1" w:styleId="46">
    <w:name w:val="摘要"/>
    <w:basedOn w:val="1"/>
    <w:next w:val="2"/>
    <w:autoRedefine/>
    <w:qFormat/>
    <w:uiPriority w:val="0"/>
    <w:pPr>
      <w:spacing w:line="360" w:lineRule="auto"/>
    </w:pPr>
    <w:rPr>
      <w:rFonts w:eastAsia="黑体"/>
      <w:sz w:val="20"/>
    </w:rPr>
  </w:style>
  <w:style w:type="paragraph" w:customStyle="1" w:styleId="47">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48">
    <w:name w:val="正文1"/>
    <w:basedOn w:val="1"/>
    <w:next w:val="49"/>
    <w:autoRedefine/>
    <w:qFormat/>
    <w:uiPriority w:val="0"/>
    <w:pPr>
      <w:spacing w:line="300" w:lineRule="auto"/>
      <w:ind w:firstLine="200" w:firstLineChars="200"/>
    </w:pPr>
    <w:rPr>
      <w:sz w:val="24"/>
    </w:rPr>
  </w:style>
  <w:style w:type="paragraph" w:customStyle="1" w:styleId="49">
    <w:name w:val="正文文本1"/>
    <w:basedOn w:val="48"/>
    <w:next w:val="50"/>
    <w:autoRedefine/>
    <w:qFormat/>
    <w:uiPriority w:val="0"/>
    <w:rPr>
      <w:rFonts w:ascii="??_GB2312;??" w:hAnsi="??_GB2312;??" w:eastAsia="Times New Roman"/>
      <w:sz w:val="32"/>
    </w:rPr>
  </w:style>
  <w:style w:type="paragraph" w:customStyle="1" w:styleId="50">
    <w:name w:val="目录 53"/>
    <w:next w:val="1"/>
    <w:autoRedefine/>
    <w:qFormat/>
    <w:uiPriority w:val="0"/>
    <w:pPr>
      <w:ind w:left="1275"/>
      <w:jc w:val="both"/>
    </w:pPr>
    <w:rPr>
      <w:rFonts w:ascii="Calibri" w:hAnsi="Calibri" w:eastAsia="宋体" w:cs="Calibri"/>
      <w:sz w:val="21"/>
      <w:lang w:val="en-US" w:eastAsia="zh-CN" w:bidi="ar-SA"/>
    </w:rPr>
  </w:style>
  <w:style w:type="character" w:customStyle="1" w:styleId="51">
    <w:name w:val="批注框文本 Char"/>
    <w:basedOn w:val="30"/>
    <w:link w:val="19"/>
    <w:autoRedefine/>
    <w:qFormat/>
    <w:uiPriority w:val="0"/>
    <w:rPr>
      <w:kern w:val="2"/>
      <w:sz w:val="18"/>
      <w:szCs w:val="18"/>
    </w:rPr>
  </w:style>
  <w:style w:type="paragraph" w:styleId="52">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B984-6474-45BD-A94D-F2A398AE38B3}">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32</Pages>
  <Words>2874</Words>
  <Characters>16385</Characters>
  <Lines>136</Lines>
  <Paragraphs>38</Paragraphs>
  <TotalTime>1</TotalTime>
  <ScaleCrop>false</ScaleCrop>
  <LinksUpToDate>false</LinksUpToDate>
  <CharactersWithSpaces>19221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2023-10-25T01:41:00Z</dcterms:created>
  <dc:creator>Lenovo</dc:creator>
  <cp:lastModifiedBy>Lenovo</cp:lastModifiedBy>
  <cp:lastPrinted>2023-03-06T06:20:00Z</cp:lastPrinted>
  <dcterms:modified xsi:type="dcterms:W3CDTF">2024-03-26T01:26:41Z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4A58C7994ABC460F93E0D35898B8F77C_13</vt:lpwstr>
  </property>
</Properties>
</file>